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0A7A0" w14:textId="77777777" w:rsidR="004C29CA" w:rsidRPr="007A0D8E" w:rsidRDefault="004C29CA" w:rsidP="008E4CC4">
      <w:pPr>
        <w:ind w:right="-35"/>
        <w:rPr>
          <w:rFonts w:ascii="Bookman Old Style" w:hAnsi="Bookman Old Style" w:cs="Arial"/>
          <w:b/>
          <w:sz w:val="28"/>
          <w:szCs w:val="28"/>
          <w:lang w:val="el-GR"/>
        </w:rPr>
      </w:pPr>
      <w:bookmarkStart w:id="0" w:name="_GoBack"/>
      <w:bookmarkEnd w:id="0"/>
      <w:r w:rsidRPr="007A0D8E">
        <w:rPr>
          <w:rFonts w:ascii="Bookman Old Style" w:hAnsi="Bookman Old Style" w:cs="Arial"/>
          <w:b/>
          <w:sz w:val="28"/>
          <w:szCs w:val="28"/>
          <w:lang w:val="el-GR"/>
        </w:rPr>
        <w:t>ΑΝΩΤΑΤΟ ΔΙΚΑΣΤΗΡΙΟ ΚΥΠΡΟΥ</w:t>
      </w:r>
    </w:p>
    <w:p w14:paraId="1B9B6724" w14:textId="77777777" w:rsidR="004C29CA" w:rsidRPr="007A0D8E" w:rsidRDefault="004C29CA" w:rsidP="008E4CC4">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ΠΡΩΤΟΒΑΘΜΙΑ ΔΙΚΑΙΟΔΟΣΙΑ</w:t>
      </w:r>
    </w:p>
    <w:p w14:paraId="33D08487" w14:textId="77777777" w:rsidR="004C29CA" w:rsidRPr="007A0D8E" w:rsidRDefault="004C29CA" w:rsidP="008E4CC4">
      <w:pPr>
        <w:ind w:right="-35"/>
        <w:rPr>
          <w:rFonts w:ascii="Bookman Old Style" w:hAnsi="Bookman Old Style" w:cs="Arial"/>
          <w:b/>
          <w:sz w:val="28"/>
          <w:szCs w:val="28"/>
          <w:lang w:val="el-GR"/>
        </w:rPr>
      </w:pPr>
    </w:p>
    <w:p w14:paraId="61790E93" w14:textId="77777777" w:rsidR="004C29CA" w:rsidRPr="007A0D8E" w:rsidRDefault="004C29CA" w:rsidP="008E4CC4">
      <w:pPr>
        <w:ind w:right="-35"/>
        <w:jc w:val="right"/>
        <w:rPr>
          <w:rFonts w:ascii="Bookman Old Style" w:hAnsi="Bookman Old Style" w:cs="Arial"/>
          <w:b/>
          <w:i/>
          <w:iCs/>
          <w:sz w:val="28"/>
          <w:szCs w:val="28"/>
          <w:lang w:val="el-GR"/>
        </w:rPr>
      </w:pPr>
    </w:p>
    <w:p w14:paraId="7C310DF1" w14:textId="4D4593A8" w:rsidR="004C29CA" w:rsidRPr="00D91562" w:rsidRDefault="001133BB" w:rsidP="008E4CC4">
      <w:pPr>
        <w:ind w:right="-35"/>
        <w:jc w:val="right"/>
        <w:rPr>
          <w:rFonts w:ascii="Bookman Old Style" w:hAnsi="Bookman Old Style"/>
          <w:sz w:val="28"/>
          <w:szCs w:val="28"/>
          <w:lang w:val="el-GR"/>
        </w:rPr>
      </w:pPr>
      <w:r>
        <w:rPr>
          <w:rFonts w:ascii="Bookman Old Style" w:hAnsi="Bookman Old Style" w:cs="Arial"/>
          <w:b/>
          <w:i/>
          <w:iCs/>
          <w:sz w:val="28"/>
          <w:szCs w:val="28"/>
          <w:lang w:val="el-GR"/>
        </w:rPr>
        <w:t xml:space="preserve">(Πολιτική Αίτηση Αρ. </w:t>
      </w:r>
      <w:r w:rsidR="00A54111" w:rsidRPr="00D91562">
        <w:rPr>
          <w:rFonts w:ascii="Bookman Old Style" w:hAnsi="Bookman Old Style" w:cs="Arial"/>
          <w:b/>
          <w:i/>
          <w:iCs/>
          <w:sz w:val="28"/>
          <w:szCs w:val="28"/>
          <w:lang w:val="el-GR"/>
        </w:rPr>
        <w:t>81</w:t>
      </w:r>
      <w:r w:rsidR="004C29CA" w:rsidRPr="007A0D8E">
        <w:rPr>
          <w:rFonts w:ascii="Bookman Old Style" w:hAnsi="Bookman Old Style" w:cs="Arial"/>
          <w:b/>
          <w:i/>
          <w:iCs/>
          <w:sz w:val="28"/>
          <w:szCs w:val="28"/>
          <w:lang w:val="el-GR"/>
        </w:rPr>
        <w:t>/20</w:t>
      </w:r>
      <w:r>
        <w:rPr>
          <w:rFonts w:ascii="Bookman Old Style" w:hAnsi="Bookman Old Style" w:cs="Arial"/>
          <w:b/>
          <w:i/>
          <w:iCs/>
          <w:sz w:val="28"/>
          <w:szCs w:val="28"/>
          <w:lang w:val="el-GR"/>
        </w:rPr>
        <w:t>2</w:t>
      </w:r>
      <w:r w:rsidR="00A54111" w:rsidRPr="00D91562">
        <w:rPr>
          <w:rFonts w:ascii="Bookman Old Style" w:hAnsi="Bookman Old Style" w:cs="Arial"/>
          <w:b/>
          <w:i/>
          <w:iCs/>
          <w:sz w:val="28"/>
          <w:szCs w:val="28"/>
          <w:lang w:val="el-GR"/>
        </w:rPr>
        <w:t>3)</w:t>
      </w:r>
    </w:p>
    <w:p w14:paraId="00F0D004" w14:textId="0880C30D" w:rsidR="004C29CA" w:rsidRPr="0078607F" w:rsidRDefault="009872A7" w:rsidP="008E4CC4">
      <w:pPr>
        <w:ind w:right="-35"/>
        <w:jc w:val="center"/>
        <w:rPr>
          <w:rFonts w:ascii="Bookman Old Style" w:hAnsi="Bookman Old Style" w:cs="Arial"/>
          <w:b/>
          <w:bCs/>
          <w:i/>
          <w:iCs/>
          <w:sz w:val="28"/>
          <w:szCs w:val="28"/>
          <w:lang w:val="el-GR"/>
        </w:rPr>
      </w:pP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sidRPr="0078607F">
        <w:rPr>
          <w:rFonts w:ascii="Bookman Old Style" w:hAnsi="Bookman Old Style" w:cs="Arial"/>
          <w:b/>
          <w:bCs/>
          <w:i/>
          <w:iCs/>
          <w:sz w:val="28"/>
          <w:szCs w:val="28"/>
          <w:lang w:val="el-GR"/>
        </w:rPr>
        <w:t>(</w:t>
      </w:r>
      <w:r w:rsidRPr="009872A7">
        <w:rPr>
          <w:rFonts w:ascii="Bookman Old Style" w:hAnsi="Bookman Old Style" w:cs="Arial"/>
          <w:b/>
          <w:bCs/>
          <w:i/>
          <w:iCs/>
          <w:sz w:val="28"/>
          <w:szCs w:val="28"/>
          <w:lang w:val="en-US"/>
        </w:rPr>
        <w:t>i</w:t>
      </w:r>
      <w:r w:rsidRPr="0078607F">
        <w:rPr>
          <w:rFonts w:ascii="Bookman Old Style" w:hAnsi="Bookman Old Style" w:cs="Arial"/>
          <w:b/>
          <w:bCs/>
          <w:i/>
          <w:iCs/>
          <w:sz w:val="28"/>
          <w:szCs w:val="28"/>
          <w:lang w:val="el-GR"/>
        </w:rPr>
        <w:t>-</w:t>
      </w:r>
      <w:r w:rsidRPr="009872A7">
        <w:rPr>
          <w:rFonts w:ascii="Bookman Old Style" w:hAnsi="Bookman Old Style" w:cs="Arial"/>
          <w:b/>
          <w:bCs/>
          <w:i/>
          <w:iCs/>
          <w:sz w:val="28"/>
          <w:szCs w:val="28"/>
          <w:lang w:val="en-US"/>
        </w:rPr>
        <w:t>justice</w:t>
      </w:r>
      <w:r w:rsidRPr="0078607F">
        <w:rPr>
          <w:rFonts w:ascii="Bookman Old Style" w:hAnsi="Bookman Old Style" w:cs="Arial"/>
          <w:b/>
          <w:bCs/>
          <w:i/>
          <w:iCs/>
          <w:sz w:val="28"/>
          <w:szCs w:val="28"/>
          <w:lang w:val="el-GR"/>
        </w:rPr>
        <w:t>)</w:t>
      </w:r>
    </w:p>
    <w:p w14:paraId="3168C780" w14:textId="77777777" w:rsidR="004C29CA" w:rsidRPr="007A0D8E" w:rsidRDefault="004C29CA" w:rsidP="008E4CC4">
      <w:pPr>
        <w:ind w:right="-35"/>
        <w:jc w:val="center"/>
        <w:rPr>
          <w:rFonts w:ascii="Bookman Old Style" w:hAnsi="Bookman Old Style" w:cs="Arial"/>
          <w:b/>
          <w:sz w:val="28"/>
          <w:szCs w:val="28"/>
          <w:lang w:val="el-GR"/>
        </w:rPr>
      </w:pPr>
    </w:p>
    <w:p w14:paraId="1BBA4D20" w14:textId="2A61B119" w:rsidR="004C29CA" w:rsidRPr="004F5616" w:rsidRDefault="009C1752" w:rsidP="008E4CC4">
      <w:pPr>
        <w:ind w:right="-35"/>
        <w:jc w:val="center"/>
        <w:rPr>
          <w:rFonts w:ascii="Bookman Old Style" w:hAnsi="Bookman Old Style" w:cs="Arial"/>
          <w:b/>
          <w:sz w:val="28"/>
          <w:szCs w:val="28"/>
          <w:lang w:val="el-GR"/>
        </w:rPr>
      </w:pPr>
      <w:r>
        <w:rPr>
          <w:rFonts w:ascii="Bookman Old Style" w:hAnsi="Bookman Old Style" w:cs="Arial"/>
          <w:b/>
          <w:sz w:val="28"/>
          <w:szCs w:val="28"/>
          <w:lang w:val="el-GR"/>
        </w:rPr>
        <w:t xml:space="preserve">11 </w:t>
      </w:r>
      <w:r w:rsidR="00587283">
        <w:rPr>
          <w:rFonts w:ascii="Bookman Old Style" w:hAnsi="Bookman Old Style" w:cs="Arial"/>
          <w:b/>
          <w:sz w:val="28"/>
          <w:szCs w:val="28"/>
          <w:lang w:val="el-GR"/>
        </w:rPr>
        <w:t>Ιουλίου,</w:t>
      </w:r>
      <w:r w:rsidR="004C29CA" w:rsidRPr="007A0D8E">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202</w:t>
      </w:r>
      <w:r w:rsidR="004F5616" w:rsidRPr="004F5616">
        <w:rPr>
          <w:rFonts w:ascii="Bookman Old Style" w:hAnsi="Bookman Old Style" w:cs="Arial"/>
          <w:b/>
          <w:sz w:val="28"/>
          <w:szCs w:val="28"/>
          <w:lang w:val="el-GR"/>
        </w:rPr>
        <w:t>3</w:t>
      </w:r>
    </w:p>
    <w:p w14:paraId="552D7883" w14:textId="77777777" w:rsidR="004C29CA" w:rsidRPr="007A0D8E" w:rsidRDefault="004C29CA" w:rsidP="008E4CC4">
      <w:pPr>
        <w:ind w:right="-35"/>
        <w:jc w:val="center"/>
        <w:rPr>
          <w:rFonts w:ascii="Bookman Old Style" w:hAnsi="Bookman Old Style" w:cs="Arial"/>
          <w:b/>
          <w:sz w:val="28"/>
          <w:szCs w:val="28"/>
          <w:lang w:val="el-GR"/>
        </w:rPr>
      </w:pPr>
    </w:p>
    <w:p w14:paraId="4C751E68" w14:textId="77777777" w:rsidR="004C29CA" w:rsidRPr="007A0D8E" w:rsidRDefault="004C29CA" w:rsidP="008E4CC4">
      <w:pPr>
        <w:ind w:right="-35"/>
        <w:jc w:val="center"/>
        <w:rPr>
          <w:rFonts w:ascii="Bookman Old Style" w:hAnsi="Bookman Old Style" w:cs="Arial"/>
          <w:b/>
          <w:sz w:val="28"/>
          <w:szCs w:val="28"/>
          <w:lang w:val="el-GR"/>
        </w:rPr>
      </w:pPr>
    </w:p>
    <w:p w14:paraId="441C51A6" w14:textId="1E7E83E8" w:rsidR="004C29CA" w:rsidRPr="007A0D8E" w:rsidRDefault="007A0D8E" w:rsidP="008E4CC4">
      <w:pPr>
        <w:ind w:right="-35"/>
        <w:jc w:val="center"/>
        <w:rPr>
          <w:rFonts w:ascii="Bookman Old Style" w:hAnsi="Bookman Old Style" w:cs="Arial"/>
          <w:b/>
          <w:sz w:val="28"/>
          <w:szCs w:val="28"/>
          <w:lang w:val="el-GR"/>
        </w:rPr>
      </w:pPr>
      <w:r>
        <w:rPr>
          <w:rFonts w:ascii="Bookman Old Style" w:hAnsi="Bookman Old Style" w:cs="Arial"/>
          <w:b/>
          <w:sz w:val="28"/>
          <w:szCs w:val="28"/>
          <w:lang w:val="el-GR"/>
        </w:rPr>
        <w:t>[</w:t>
      </w:r>
      <w:r w:rsidR="00587283">
        <w:rPr>
          <w:rFonts w:ascii="Bookman Old Style" w:hAnsi="Bookman Old Style" w:cs="Arial"/>
          <w:b/>
          <w:sz w:val="28"/>
          <w:szCs w:val="28"/>
          <w:lang w:val="el-GR"/>
        </w:rPr>
        <w:t xml:space="preserve">Λ. </w:t>
      </w:r>
      <w:r>
        <w:rPr>
          <w:rFonts w:ascii="Bookman Old Style" w:hAnsi="Bookman Old Style" w:cs="Arial"/>
          <w:b/>
          <w:sz w:val="28"/>
          <w:szCs w:val="28"/>
          <w:lang w:val="el-GR"/>
        </w:rPr>
        <w:t>ΔΗΜΗΤΡΙΑΔΟΥ-ΑΝΔΡΕΟΥ</w:t>
      </w:r>
      <w:r w:rsidR="004C29CA" w:rsidRPr="007A0D8E">
        <w:rPr>
          <w:rFonts w:ascii="Bookman Old Style" w:hAnsi="Bookman Old Style" w:cs="Arial"/>
          <w:b/>
          <w:sz w:val="28"/>
          <w:szCs w:val="28"/>
          <w:lang w:val="el-GR"/>
        </w:rPr>
        <w:t>, Δ.]</w:t>
      </w:r>
    </w:p>
    <w:p w14:paraId="0D752D4B" w14:textId="77777777" w:rsidR="004C29CA" w:rsidRPr="007A0D8E" w:rsidRDefault="004C29CA" w:rsidP="008E4CC4">
      <w:pPr>
        <w:ind w:right="-35"/>
        <w:jc w:val="center"/>
        <w:rPr>
          <w:rFonts w:ascii="Bookman Old Style" w:hAnsi="Bookman Old Style" w:cs="Arial"/>
          <w:sz w:val="28"/>
          <w:szCs w:val="28"/>
          <w:lang w:val="el-GR"/>
        </w:rPr>
      </w:pPr>
    </w:p>
    <w:p w14:paraId="63573D82" w14:textId="77777777" w:rsidR="004C29CA" w:rsidRPr="007A0D8E" w:rsidRDefault="004C29CA" w:rsidP="008E4CC4">
      <w:pPr>
        <w:ind w:right="-35"/>
        <w:rPr>
          <w:rFonts w:ascii="Bookman Old Style" w:hAnsi="Bookman Old Style" w:cs="Arial"/>
          <w:sz w:val="28"/>
          <w:szCs w:val="28"/>
          <w:u w:val="single"/>
          <w:lang w:val="el-GR"/>
        </w:rPr>
      </w:pPr>
    </w:p>
    <w:p w14:paraId="24DF84F6" w14:textId="78F64DBF" w:rsidR="004C29CA" w:rsidRDefault="004C29CA" w:rsidP="008E4CC4">
      <w:pPr>
        <w:ind w:right="-35"/>
        <w:rPr>
          <w:rFonts w:ascii="Bookman Old Style" w:hAnsi="Bookman Old Style" w:cs="Arial"/>
          <w:b/>
          <w:sz w:val="28"/>
          <w:szCs w:val="28"/>
          <w:lang w:val="el-GR"/>
        </w:rPr>
      </w:pPr>
    </w:p>
    <w:p w14:paraId="7C30935E" w14:textId="613841CD" w:rsidR="008D27F9" w:rsidRDefault="008D27F9" w:rsidP="008E4CC4">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 ΑΡΘΡΟ 155.4 ΤΟΥ ΣΥΝΤΑΓΜΑΤΟΣ ΚΑΙ ΤΑ ΑΡΘΡΑ 3</w:t>
      </w:r>
      <w:r w:rsidR="009E1129">
        <w:rPr>
          <w:rFonts w:ascii="Bookman Old Style" w:hAnsi="Bookman Old Style"/>
          <w:color w:val="000000"/>
          <w:sz w:val="28"/>
          <w:szCs w:val="28"/>
          <w:lang w:bidi="el-GR"/>
        </w:rPr>
        <w:t xml:space="preserve"> ΚΑΙ</w:t>
      </w:r>
      <w:r w:rsidR="005B2486">
        <w:rPr>
          <w:rFonts w:ascii="Bookman Old Style" w:hAnsi="Bookman Old Style"/>
          <w:color w:val="000000"/>
          <w:sz w:val="28"/>
          <w:szCs w:val="28"/>
          <w:lang w:bidi="el-GR"/>
        </w:rPr>
        <w:t xml:space="preserve"> </w:t>
      </w:r>
      <w:r>
        <w:rPr>
          <w:rFonts w:ascii="Bookman Old Style" w:hAnsi="Bookman Old Style"/>
          <w:color w:val="000000"/>
          <w:sz w:val="28"/>
          <w:szCs w:val="28"/>
          <w:lang w:bidi="el-GR"/>
        </w:rPr>
        <w:t>9</w:t>
      </w:r>
      <w:r w:rsidR="005B2486">
        <w:rPr>
          <w:rFonts w:ascii="Bookman Old Style" w:hAnsi="Bookman Old Style"/>
          <w:color w:val="000000"/>
          <w:sz w:val="28"/>
          <w:szCs w:val="28"/>
          <w:lang w:bidi="el-GR"/>
        </w:rPr>
        <w:t xml:space="preserve"> </w:t>
      </w:r>
      <w:r>
        <w:rPr>
          <w:rFonts w:ascii="Bookman Old Style" w:hAnsi="Bookman Old Style"/>
          <w:color w:val="000000"/>
          <w:sz w:val="28"/>
          <w:szCs w:val="28"/>
          <w:lang w:bidi="el-GR"/>
        </w:rPr>
        <w:t>ΤΟΥ ΠΕΡΙ ΑΠΟΝΟΜΗΣ ΤΗΣ ΔΙΚΑΙΟΣΥΝΗΣ (ΠΟΙΚΙΛ</w:t>
      </w:r>
      <w:r w:rsidR="009E1129">
        <w:rPr>
          <w:rFonts w:ascii="Bookman Old Style" w:hAnsi="Bookman Old Style"/>
          <w:color w:val="000000"/>
          <w:sz w:val="28"/>
          <w:szCs w:val="28"/>
          <w:lang w:bidi="el-GR"/>
        </w:rPr>
        <w:t>ΑΙ</w:t>
      </w:r>
      <w:r>
        <w:rPr>
          <w:rFonts w:ascii="Bookman Old Style" w:hAnsi="Bookman Old Style"/>
          <w:color w:val="000000"/>
          <w:sz w:val="28"/>
          <w:szCs w:val="28"/>
          <w:lang w:bidi="el-GR"/>
        </w:rPr>
        <w:t xml:space="preserve">                       ΔΙΑΤΑΞΕΙΣ) ΝΟΜΟΥ ΤΟΥ 1964</w:t>
      </w:r>
      <w:r w:rsidR="009E1129">
        <w:rPr>
          <w:rFonts w:ascii="Bookman Old Style" w:hAnsi="Bookman Old Style"/>
          <w:color w:val="000000"/>
          <w:sz w:val="28"/>
          <w:szCs w:val="28"/>
          <w:lang w:bidi="el-GR"/>
        </w:rPr>
        <w:t xml:space="preserve"> (Ν. 33/64) ΩΣ ΤΡΟΠΟΠΟΙΗΘΗΚΕ</w:t>
      </w:r>
    </w:p>
    <w:p w14:paraId="6E927B07" w14:textId="77777777" w:rsidR="008D27F9" w:rsidRDefault="008D27F9" w:rsidP="008E4CC4">
      <w:pPr>
        <w:pStyle w:val="Bodytext20"/>
        <w:shd w:val="clear" w:color="auto" w:fill="auto"/>
        <w:spacing w:before="0" w:line="276" w:lineRule="auto"/>
        <w:ind w:right="-35"/>
        <w:rPr>
          <w:rFonts w:ascii="Bookman Old Style" w:hAnsi="Bookman Old Style"/>
          <w:sz w:val="28"/>
          <w:szCs w:val="28"/>
          <w:lang w:bidi="he-IL"/>
        </w:rPr>
      </w:pPr>
    </w:p>
    <w:p w14:paraId="04869B61" w14:textId="77777777" w:rsidR="008D27F9" w:rsidRDefault="008D27F9" w:rsidP="008E4CC4">
      <w:pPr>
        <w:pStyle w:val="Bodytext20"/>
        <w:shd w:val="clear" w:color="auto" w:fill="auto"/>
        <w:spacing w:before="0" w:line="276" w:lineRule="auto"/>
        <w:ind w:left="20"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3B039801" w14:textId="77777777" w:rsidR="008D27F9" w:rsidRDefault="008D27F9" w:rsidP="008E4CC4">
      <w:pPr>
        <w:pStyle w:val="Bodytext20"/>
        <w:shd w:val="clear" w:color="auto" w:fill="auto"/>
        <w:spacing w:before="0" w:line="276" w:lineRule="auto"/>
        <w:ind w:left="20" w:right="-35"/>
        <w:jc w:val="center"/>
        <w:rPr>
          <w:rFonts w:ascii="Bookman Old Style" w:hAnsi="Bookman Old Style"/>
          <w:sz w:val="28"/>
          <w:szCs w:val="28"/>
          <w:lang w:bidi="he-IL"/>
        </w:rPr>
      </w:pPr>
    </w:p>
    <w:p w14:paraId="13EB27F2" w14:textId="58DC9C0C" w:rsidR="008D27F9" w:rsidRDefault="008D27F9" w:rsidP="008E4CC4">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ΤΟΝ ΠΕΡΙ ΑΝΩΤΑΤΟΥ ΔΙΚΑΣΤΗΡΙΟΥ (ΔΙΚΑΙΟΔΟΣΙΑ ΕΚΔΟΣΗΣ ΕΝΤΑΛΜΑΤΩΝ ΠΡΟΝΟΜΙΑΚΗΣ ΦΥΣΕΩΣ) ΔΙΑΔΙΚΑΣΤΙΚΟ</w:t>
      </w:r>
      <w:r w:rsidR="005B2486">
        <w:rPr>
          <w:rFonts w:ascii="Bookman Old Style" w:hAnsi="Bookman Old Style"/>
          <w:color w:val="000000"/>
          <w:sz w:val="28"/>
          <w:szCs w:val="28"/>
          <w:lang w:bidi="el-GR"/>
        </w:rPr>
        <w:t>Σ</w:t>
      </w:r>
      <w:r>
        <w:rPr>
          <w:rFonts w:ascii="Bookman Old Style" w:hAnsi="Bookman Old Style"/>
          <w:color w:val="000000"/>
          <w:sz w:val="28"/>
          <w:szCs w:val="28"/>
          <w:lang w:bidi="el-GR"/>
        </w:rPr>
        <w:t xml:space="preserve">                ΚΑΝΟΝΙΣΜΟ</w:t>
      </w:r>
      <w:r w:rsidR="005B2486">
        <w:rPr>
          <w:rFonts w:ascii="Bookman Old Style" w:hAnsi="Bookman Old Style"/>
          <w:color w:val="000000"/>
          <w:sz w:val="28"/>
          <w:szCs w:val="28"/>
          <w:lang w:bidi="el-GR"/>
        </w:rPr>
        <w:t>Σ</w:t>
      </w:r>
      <w:r>
        <w:rPr>
          <w:rFonts w:ascii="Bookman Old Style" w:hAnsi="Bookman Old Style"/>
          <w:color w:val="000000"/>
          <w:sz w:val="28"/>
          <w:szCs w:val="28"/>
          <w:lang w:bidi="el-GR"/>
        </w:rPr>
        <w:t xml:space="preserve"> ΤΟΥ 2018</w:t>
      </w:r>
    </w:p>
    <w:p w14:paraId="3F6830A0" w14:textId="77777777" w:rsidR="008D27F9" w:rsidRDefault="008D27F9" w:rsidP="008E4CC4">
      <w:pPr>
        <w:pStyle w:val="Bodytext20"/>
        <w:shd w:val="clear" w:color="auto" w:fill="auto"/>
        <w:spacing w:before="0" w:line="276" w:lineRule="auto"/>
        <w:ind w:right="-35"/>
        <w:rPr>
          <w:rFonts w:ascii="Bookman Old Style" w:hAnsi="Bookman Old Style"/>
          <w:sz w:val="28"/>
          <w:szCs w:val="28"/>
          <w:lang w:bidi="he-IL"/>
        </w:rPr>
      </w:pPr>
    </w:p>
    <w:p w14:paraId="1B1E4F6E" w14:textId="77777777" w:rsidR="008D27F9" w:rsidRDefault="008D27F9" w:rsidP="008E4CC4">
      <w:pPr>
        <w:pStyle w:val="Bodytext20"/>
        <w:shd w:val="clear" w:color="auto" w:fill="auto"/>
        <w:spacing w:before="0" w:line="276" w:lineRule="auto"/>
        <w:ind w:left="20"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74D9F89D" w14:textId="77777777" w:rsidR="008D27F9" w:rsidRDefault="008D27F9" w:rsidP="008E4CC4">
      <w:pPr>
        <w:pStyle w:val="Bodytext20"/>
        <w:shd w:val="clear" w:color="auto" w:fill="auto"/>
        <w:spacing w:before="0" w:line="276" w:lineRule="auto"/>
        <w:ind w:left="20" w:right="-35"/>
        <w:jc w:val="center"/>
        <w:rPr>
          <w:rFonts w:ascii="Bookman Old Style" w:hAnsi="Bookman Old Style"/>
          <w:sz w:val="28"/>
          <w:szCs w:val="28"/>
          <w:lang w:bidi="he-IL"/>
        </w:rPr>
      </w:pPr>
    </w:p>
    <w:p w14:paraId="69238E14" w14:textId="6325E0BA" w:rsidR="008D27F9" w:rsidRDefault="008D27F9" w:rsidP="008E4CC4">
      <w:pPr>
        <w:pStyle w:val="Bodytext20"/>
        <w:shd w:val="clear" w:color="auto" w:fill="auto"/>
        <w:spacing w:before="0" w:line="276" w:lineRule="auto"/>
        <w:ind w:right="-35"/>
        <w:rPr>
          <w:rFonts w:ascii="Bookman Old Style" w:hAnsi="Bookman Old Style"/>
          <w:color w:val="000000"/>
          <w:sz w:val="28"/>
          <w:szCs w:val="28"/>
          <w:lang w:bidi="en-US"/>
        </w:rPr>
      </w:pPr>
      <w:r>
        <w:rPr>
          <w:rFonts w:ascii="Bookman Old Style" w:hAnsi="Bookman Old Style"/>
          <w:color w:val="000000"/>
          <w:sz w:val="28"/>
          <w:szCs w:val="28"/>
          <w:lang w:bidi="el-GR"/>
        </w:rPr>
        <w:t xml:space="preserve">ΑΝΑΦΟΡΙΚΑ ΜΕ ΤΗΝ ΑΙΤΗΣΗ </w:t>
      </w:r>
      <w:r w:rsidR="008E4CC4">
        <w:rPr>
          <w:rFonts w:ascii="Bookman Old Style" w:hAnsi="Bookman Old Style"/>
          <w:color w:val="000000"/>
          <w:sz w:val="28"/>
          <w:szCs w:val="28"/>
          <w:lang w:bidi="el-GR"/>
        </w:rPr>
        <w:t xml:space="preserve">ΤΗΣ </w:t>
      </w:r>
      <w:r w:rsidR="008E4CC4">
        <w:rPr>
          <w:rFonts w:ascii="Bookman Old Style" w:hAnsi="Bookman Old Style"/>
          <w:color w:val="000000"/>
          <w:sz w:val="28"/>
          <w:szCs w:val="28"/>
          <w:lang w:val="en-US" w:bidi="el-GR"/>
        </w:rPr>
        <w:t>CBD</w:t>
      </w:r>
      <w:r w:rsidR="008E4CC4" w:rsidRPr="008E4CC4">
        <w:rPr>
          <w:rFonts w:ascii="Bookman Old Style" w:hAnsi="Bookman Old Style"/>
          <w:color w:val="000000"/>
          <w:sz w:val="28"/>
          <w:szCs w:val="28"/>
          <w:lang w:bidi="el-GR"/>
        </w:rPr>
        <w:t xml:space="preserve"> </w:t>
      </w:r>
      <w:r w:rsidR="008E4CC4">
        <w:rPr>
          <w:rFonts w:ascii="Bookman Old Style" w:hAnsi="Bookman Old Style"/>
          <w:color w:val="000000"/>
          <w:sz w:val="28"/>
          <w:szCs w:val="28"/>
          <w:lang w:val="en-US" w:bidi="el-GR"/>
        </w:rPr>
        <w:t>OIL</w:t>
      </w:r>
      <w:r w:rsidR="008E4CC4" w:rsidRPr="008E4CC4">
        <w:rPr>
          <w:rFonts w:ascii="Bookman Old Style" w:hAnsi="Bookman Old Style"/>
          <w:color w:val="000000"/>
          <w:sz w:val="28"/>
          <w:szCs w:val="28"/>
          <w:lang w:bidi="el-GR"/>
        </w:rPr>
        <w:t xml:space="preserve"> </w:t>
      </w:r>
      <w:r w:rsidR="008E4CC4">
        <w:rPr>
          <w:rFonts w:ascii="Bookman Old Style" w:hAnsi="Bookman Old Style"/>
          <w:color w:val="000000"/>
          <w:sz w:val="28"/>
          <w:szCs w:val="28"/>
          <w:lang w:val="en-US" w:bidi="el-GR"/>
        </w:rPr>
        <w:t>SHOP</w:t>
      </w:r>
      <w:r w:rsidR="008E4CC4" w:rsidRPr="008E4CC4">
        <w:rPr>
          <w:rFonts w:ascii="Bookman Old Style" w:hAnsi="Bookman Old Style"/>
          <w:color w:val="000000"/>
          <w:sz w:val="28"/>
          <w:szCs w:val="28"/>
          <w:lang w:bidi="el-GR"/>
        </w:rPr>
        <w:t xml:space="preserve"> </w:t>
      </w:r>
      <w:r w:rsidR="008E4CC4">
        <w:rPr>
          <w:rFonts w:ascii="Bookman Old Style" w:hAnsi="Bookman Old Style"/>
          <w:color w:val="000000"/>
          <w:sz w:val="28"/>
          <w:szCs w:val="28"/>
          <w:lang w:val="en-US" w:bidi="el-GR"/>
        </w:rPr>
        <w:t>LTD</w:t>
      </w:r>
      <w:r w:rsidR="008E4CC4" w:rsidRPr="008E4CC4">
        <w:rPr>
          <w:rFonts w:ascii="Bookman Old Style" w:hAnsi="Bookman Old Style"/>
          <w:color w:val="000000"/>
          <w:sz w:val="28"/>
          <w:szCs w:val="28"/>
          <w:lang w:bidi="el-GR"/>
        </w:rPr>
        <w:t xml:space="preserve"> </w:t>
      </w:r>
      <w:r w:rsidR="008E4CC4">
        <w:rPr>
          <w:rFonts w:ascii="Bookman Old Style" w:hAnsi="Bookman Old Style"/>
          <w:color w:val="000000"/>
          <w:sz w:val="28"/>
          <w:szCs w:val="28"/>
          <w:lang w:val="en-US" w:bidi="el-GR"/>
        </w:rPr>
        <w:t>HE</w:t>
      </w:r>
      <w:r w:rsidR="008E4CC4" w:rsidRPr="008E4CC4">
        <w:rPr>
          <w:rFonts w:ascii="Bookman Old Style" w:hAnsi="Bookman Old Style"/>
          <w:color w:val="000000"/>
          <w:sz w:val="28"/>
          <w:szCs w:val="28"/>
          <w:lang w:bidi="el-GR"/>
        </w:rPr>
        <w:t xml:space="preserve"> 409607</w:t>
      </w:r>
      <w:r w:rsidR="008E4CC4">
        <w:rPr>
          <w:rFonts w:ascii="Bookman Old Style" w:hAnsi="Bookman Old Style"/>
          <w:color w:val="000000"/>
          <w:sz w:val="28"/>
          <w:szCs w:val="28"/>
          <w:lang w:bidi="el-GR"/>
        </w:rPr>
        <w:t xml:space="preserve"> </w:t>
      </w:r>
      <w:r w:rsidR="005B2486">
        <w:rPr>
          <w:rFonts w:ascii="Bookman Old Style" w:hAnsi="Bookman Old Style"/>
          <w:color w:val="000000"/>
          <w:sz w:val="28"/>
          <w:szCs w:val="28"/>
          <w:lang w:bidi="el-GR"/>
        </w:rPr>
        <w:t>ΓΙΑ ΤΗΝ ΚΑΤΑΧΩΡΗΣΗ ΑΙΤΗΣΗΣ ΓΙΑ</w:t>
      </w:r>
      <w:r>
        <w:rPr>
          <w:rFonts w:ascii="Bookman Old Style" w:hAnsi="Bookman Old Style"/>
          <w:color w:val="000000"/>
          <w:sz w:val="28"/>
          <w:szCs w:val="28"/>
          <w:lang w:bidi="el-GR"/>
        </w:rPr>
        <w:t xml:space="preserve"> </w:t>
      </w:r>
      <w:r>
        <w:rPr>
          <w:rFonts w:ascii="Bookman Old Style" w:hAnsi="Bookman Old Style"/>
          <w:color w:val="000000"/>
          <w:sz w:val="28"/>
          <w:szCs w:val="28"/>
          <w:lang w:bidi="en-US"/>
        </w:rPr>
        <w:t>ΤΗΝ ΕΚΔΟΣΗ ΕΝΤΑΛΜΑΤ</w:t>
      </w:r>
      <w:r w:rsidR="008E4CC4">
        <w:rPr>
          <w:rFonts w:ascii="Bookman Old Style" w:hAnsi="Bookman Old Style"/>
          <w:color w:val="000000"/>
          <w:sz w:val="28"/>
          <w:szCs w:val="28"/>
          <w:lang w:bidi="en-US"/>
        </w:rPr>
        <w:t>ΟΣ</w:t>
      </w:r>
      <w:r>
        <w:rPr>
          <w:rFonts w:ascii="Bookman Old Style" w:hAnsi="Bookman Old Style"/>
          <w:color w:val="000000"/>
          <w:sz w:val="28"/>
          <w:szCs w:val="28"/>
          <w:lang w:bidi="en-US"/>
        </w:rPr>
        <w:t xml:space="preserve"> </w:t>
      </w:r>
      <w:r>
        <w:rPr>
          <w:rFonts w:ascii="Bookman Old Style" w:hAnsi="Bookman Old Style"/>
          <w:color w:val="000000"/>
          <w:sz w:val="28"/>
          <w:szCs w:val="28"/>
          <w:lang w:val="en-US" w:bidi="en-US"/>
        </w:rPr>
        <w:t>CERTIORARI</w:t>
      </w:r>
    </w:p>
    <w:p w14:paraId="140E769A" w14:textId="77777777" w:rsidR="008D27F9" w:rsidRDefault="008D27F9" w:rsidP="008E4CC4">
      <w:pPr>
        <w:pStyle w:val="Bodytext20"/>
        <w:shd w:val="clear" w:color="auto" w:fill="auto"/>
        <w:spacing w:before="0" w:line="276" w:lineRule="auto"/>
        <w:ind w:right="-35"/>
        <w:rPr>
          <w:rFonts w:ascii="Bookman Old Style" w:hAnsi="Bookman Old Style"/>
          <w:sz w:val="28"/>
          <w:szCs w:val="28"/>
          <w:lang w:bidi="he-IL"/>
        </w:rPr>
      </w:pPr>
    </w:p>
    <w:p w14:paraId="09E8A38D" w14:textId="77777777" w:rsidR="008D27F9" w:rsidRDefault="008D27F9" w:rsidP="008E4CC4">
      <w:pPr>
        <w:pStyle w:val="Bodytext20"/>
        <w:shd w:val="clear" w:color="auto" w:fill="auto"/>
        <w:spacing w:before="0" w:line="276" w:lineRule="auto"/>
        <w:ind w:left="20"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3CD71524" w14:textId="77777777" w:rsidR="008D27F9" w:rsidRDefault="008D27F9" w:rsidP="008E4CC4">
      <w:pPr>
        <w:pStyle w:val="Bodytext20"/>
        <w:shd w:val="clear" w:color="auto" w:fill="auto"/>
        <w:spacing w:before="0" w:line="276" w:lineRule="auto"/>
        <w:ind w:left="20" w:right="-35"/>
        <w:jc w:val="center"/>
        <w:rPr>
          <w:rFonts w:ascii="Bookman Old Style" w:hAnsi="Bookman Old Style"/>
          <w:sz w:val="28"/>
          <w:szCs w:val="28"/>
          <w:lang w:bidi="he-IL"/>
        </w:rPr>
      </w:pPr>
    </w:p>
    <w:p w14:paraId="67B9F6A2" w14:textId="710BBF6C" w:rsidR="008E4CC4" w:rsidRDefault="008E4CC4" w:rsidP="008E4CC4">
      <w:pPr>
        <w:pStyle w:val="Bodytext20"/>
        <w:shd w:val="clear" w:color="auto" w:fill="auto"/>
        <w:spacing w:before="0" w:after="30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 ΑΡΘΡΟ 16 ΚΑΙ 23 ΤΟΥ ΣΥΝΤΑΓΜΑΤΟΣ ΚΑΙ ΤΑ ΑΡΘΡΑ 27, 28, 29, 32, 33 ΚΑΙ 34 ΤΟΥ ΠΕΡΙ ΠΟΙΝΙΚΗΣ ΔΙΚΟΝΟΜΙΑΣ ΝΟΜΟΥ ΚΕΦ. 155 ΚΑΙ ΤΟ ΑΡΘΡΟ 8 ΤΗΣ ΣΥΜΒΑΣΗΣ ΓΙΑ ΤΗΝ ΠΡΟΑΣΠΙΣΗ ΤΩΝ ΑΝΘΡΩΠΙΝΩΝ ΔΙΚΑΙΩΜΑΤΩΝ</w:t>
      </w:r>
    </w:p>
    <w:p w14:paraId="35950AF9" w14:textId="77777777" w:rsidR="008E4CC4" w:rsidRDefault="008E4CC4" w:rsidP="008E4CC4">
      <w:pPr>
        <w:pStyle w:val="Bodytext20"/>
        <w:shd w:val="clear" w:color="auto" w:fill="auto"/>
        <w:spacing w:before="0" w:after="300" w:line="276" w:lineRule="auto"/>
        <w:ind w:right="-35"/>
        <w:rPr>
          <w:rFonts w:ascii="Bookman Old Style" w:hAnsi="Bookman Old Style"/>
          <w:color w:val="000000"/>
          <w:sz w:val="28"/>
          <w:szCs w:val="28"/>
          <w:lang w:bidi="el-GR"/>
        </w:rPr>
      </w:pPr>
    </w:p>
    <w:p w14:paraId="7FFFA540" w14:textId="007F6DED" w:rsidR="008E4CC4" w:rsidRDefault="008E4CC4" w:rsidP="008E4CC4">
      <w:pPr>
        <w:pStyle w:val="Bodytext20"/>
        <w:shd w:val="clear" w:color="auto" w:fill="auto"/>
        <w:spacing w:before="0" w:after="30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lastRenderedPageBreak/>
        <w:t>ΚΑΙ</w:t>
      </w:r>
    </w:p>
    <w:p w14:paraId="28D4BD0C" w14:textId="3B5F166F" w:rsidR="008E4CC4" w:rsidRDefault="008E4CC4" w:rsidP="008E4CC4">
      <w:pPr>
        <w:pStyle w:val="Bodytext20"/>
        <w:shd w:val="clear" w:color="auto" w:fill="auto"/>
        <w:spacing w:before="0" w:after="30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w:t>
      </w:r>
      <w:r w:rsidR="008D27F9">
        <w:rPr>
          <w:rFonts w:ascii="Bookman Old Style" w:hAnsi="Bookman Old Style"/>
          <w:color w:val="000000"/>
          <w:sz w:val="28"/>
          <w:szCs w:val="28"/>
          <w:lang w:bidi="el-GR"/>
        </w:rPr>
        <w:t>ΝΑΦΟΡΙΚΑ ΜΕ Τ</w:t>
      </w:r>
      <w:r>
        <w:rPr>
          <w:rFonts w:ascii="Bookman Old Style" w:hAnsi="Bookman Old Style"/>
          <w:color w:val="000000"/>
          <w:sz w:val="28"/>
          <w:szCs w:val="28"/>
          <w:lang w:bidi="el-GR"/>
        </w:rPr>
        <w:t xml:space="preserve">Ο ΕΝΤΑΛΜΑ ΕΡΕΥΝΑΣ </w:t>
      </w:r>
      <w:r w:rsidR="008D27F9">
        <w:rPr>
          <w:rFonts w:ascii="Bookman Old Style" w:hAnsi="Bookman Old Style"/>
          <w:color w:val="000000"/>
          <w:sz w:val="28"/>
          <w:szCs w:val="28"/>
          <w:lang w:bidi="el-GR"/>
        </w:rPr>
        <w:t xml:space="preserve">ΗΜΕΡΟΜΗΝΙΑΣ </w:t>
      </w:r>
      <w:r>
        <w:rPr>
          <w:rFonts w:ascii="Bookman Old Style" w:hAnsi="Bookman Old Style"/>
          <w:color w:val="000000"/>
          <w:sz w:val="28"/>
          <w:szCs w:val="28"/>
          <w:lang w:bidi="el-GR"/>
        </w:rPr>
        <w:t>1</w:t>
      </w:r>
      <w:r w:rsidR="005B2486">
        <w:rPr>
          <w:rFonts w:ascii="Bookman Old Style" w:hAnsi="Bookman Old Style"/>
          <w:color w:val="000000"/>
          <w:sz w:val="28"/>
          <w:szCs w:val="28"/>
          <w:lang w:bidi="el-GR"/>
        </w:rPr>
        <w:t>5</w:t>
      </w:r>
      <w:r w:rsidR="008D27F9">
        <w:rPr>
          <w:rFonts w:ascii="Bookman Old Style" w:hAnsi="Bookman Old Style"/>
          <w:color w:val="000000"/>
          <w:sz w:val="28"/>
          <w:szCs w:val="28"/>
          <w:lang w:bidi="el-GR"/>
        </w:rPr>
        <w:t>/</w:t>
      </w:r>
      <w:r>
        <w:rPr>
          <w:rFonts w:ascii="Bookman Old Style" w:hAnsi="Bookman Old Style"/>
          <w:color w:val="000000"/>
          <w:sz w:val="28"/>
          <w:szCs w:val="28"/>
          <w:lang w:bidi="el-GR"/>
        </w:rPr>
        <w:t>05</w:t>
      </w:r>
      <w:r w:rsidR="008D27F9">
        <w:rPr>
          <w:rFonts w:ascii="Bookman Old Style" w:hAnsi="Bookman Old Style"/>
          <w:color w:val="000000"/>
          <w:sz w:val="28"/>
          <w:szCs w:val="28"/>
          <w:lang w:bidi="el-GR"/>
        </w:rPr>
        <w:t>/202</w:t>
      </w:r>
      <w:r>
        <w:rPr>
          <w:rFonts w:ascii="Bookman Old Style" w:hAnsi="Bookman Old Style"/>
          <w:color w:val="000000"/>
          <w:sz w:val="28"/>
          <w:szCs w:val="28"/>
          <w:lang w:bidi="el-GR"/>
        </w:rPr>
        <w:t xml:space="preserve">3, ΤΟ ΟΠΟΙΟ </w:t>
      </w:r>
      <w:r w:rsidR="005B2486">
        <w:rPr>
          <w:rFonts w:ascii="Bookman Old Style" w:hAnsi="Bookman Old Style"/>
          <w:color w:val="000000"/>
          <w:sz w:val="28"/>
          <w:szCs w:val="28"/>
          <w:lang w:bidi="el-GR"/>
        </w:rPr>
        <w:t xml:space="preserve">ΕΚΔΟΘΗΚΕ </w:t>
      </w:r>
      <w:r w:rsidR="008D27F9">
        <w:rPr>
          <w:rFonts w:ascii="Bookman Old Style" w:hAnsi="Bookman Old Style"/>
          <w:color w:val="000000"/>
          <w:sz w:val="28"/>
          <w:szCs w:val="28"/>
          <w:lang w:bidi="el-GR"/>
        </w:rPr>
        <w:t xml:space="preserve">ΑΠΟ ΤΟ ΕΠΑΡΧΙΑΚΟ ΔΙΚΑΣΤΗΡΙΟ </w:t>
      </w:r>
      <w:r w:rsidR="005B2486">
        <w:rPr>
          <w:rFonts w:ascii="Bookman Old Style" w:hAnsi="Bookman Old Style"/>
          <w:color w:val="000000"/>
          <w:sz w:val="28"/>
          <w:szCs w:val="28"/>
          <w:lang w:bidi="el-GR"/>
        </w:rPr>
        <w:t>Λ</w:t>
      </w:r>
      <w:r>
        <w:rPr>
          <w:rFonts w:ascii="Bookman Old Style" w:hAnsi="Bookman Old Style"/>
          <w:color w:val="000000"/>
          <w:sz w:val="28"/>
          <w:szCs w:val="28"/>
          <w:lang w:bidi="el-GR"/>
        </w:rPr>
        <w:t>ΑΡΝΑΚΑ</w:t>
      </w:r>
      <w:r w:rsidR="005B2486">
        <w:rPr>
          <w:rFonts w:ascii="Bookman Old Style" w:hAnsi="Bookman Old Style"/>
          <w:color w:val="000000"/>
          <w:sz w:val="28"/>
          <w:szCs w:val="28"/>
          <w:lang w:bidi="el-GR"/>
        </w:rPr>
        <w:t xml:space="preserve">Σ, </w:t>
      </w:r>
      <w:r>
        <w:rPr>
          <w:rFonts w:ascii="Bookman Old Style" w:hAnsi="Bookman Old Style"/>
          <w:color w:val="000000"/>
          <w:sz w:val="28"/>
          <w:szCs w:val="28"/>
          <w:lang w:bidi="el-GR"/>
        </w:rPr>
        <w:t xml:space="preserve">ΣΤΗ ΒΑΣΗ ΤΗΣ ΕΝΟΡΚΗΣ ΔΗΛΩΣΗΣ ΤΟΥ ΛΟΧ. 2421 ΟΛΥΜΠΙΟΥ ΕΦΡΑΙΜ, ΓΙΑ ΕΡΕΥΝΑ ΣΤΟ ΥΠΟΣΤΑΤΙΚΟ ΤΗΣ ΑΙΤΗΤΡΙΑΣ, ΣΤΗΝ ΟΔΟ </w:t>
      </w:r>
      <w:r w:rsidR="0078607F" w:rsidRPr="0078607F">
        <w:rPr>
          <w:rFonts w:ascii="Bookman Old Style" w:hAnsi="Bookman Old Style"/>
          <w:color w:val="000000"/>
          <w:sz w:val="28"/>
          <w:szCs w:val="28"/>
          <w:lang w:bidi="el-GR"/>
        </w:rPr>
        <w:t>[ ]</w:t>
      </w:r>
      <w:r>
        <w:rPr>
          <w:rFonts w:ascii="Bookman Old Style" w:hAnsi="Bookman Old Style"/>
          <w:color w:val="000000"/>
          <w:sz w:val="28"/>
          <w:szCs w:val="28"/>
          <w:lang w:bidi="el-GR"/>
        </w:rPr>
        <w:t xml:space="preserve"> ΛΑΡΝΑΚΑ ΔΥΝΑΜΕΙ ΤΟΥ ΠΕΡΙ ΠΟΙΝΙΚΗΣ ΔΙΚΟΝΟΜΙΑΣ </w:t>
      </w:r>
      <w:r w:rsidR="00D9223A">
        <w:rPr>
          <w:rFonts w:ascii="Bookman Old Style" w:hAnsi="Bookman Old Style"/>
          <w:color w:val="000000"/>
          <w:sz w:val="28"/>
          <w:szCs w:val="28"/>
          <w:lang w:bidi="el-GR"/>
        </w:rPr>
        <w:t>ΝΟΜΟΥ ΚΕΦ. 155, ΑΡΘΡΑ 27 ΚΑΙ 28</w:t>
      </w:r>
    </w:p>
    <w:p w14:paraId="36688168" w14:textId="77777777" w:rsidR="00D9223A" w:rsidRDefault="00D9223A" w:rsidP="00D9223A">
      <w:pPr>
        <w:ind w:right="-35"/>
        <w:jc w:val="center"/>
        <w:rPr>
          <w:rFonts w:ascii="Bookman Old Style" w:hAnsi="Bookman Old Style" w:cs="Arial"/>
          <w:iCs/>
          <w:sz w:val="28"/>
          <w:szCs w:val="28"/>
          <w:lang w:val="el-GR"/>
        </w:rPr>
      </w:pPr>
      <w:r>
        <w:rPr>
          <w:rFonts w:ascii="Bookman Old Style" w:hAnsi="Bookman Old Style" w:cs="Arial"/>
          <w:iCs/>
          <w:sz w:val="28"/>
          <w:szCs w:val="28"/>
          <w:lang w:val="el-GR"/>
        </w:rPr>
        <w:t>________________________________________________</w:t>
      </w:r>
    </w:p>
    <w:p w14:paraId="623948F2" w14:textId="77777777" w:rsidR="00D9223A" w:rsidRDefault="00D9223A" w:rsidP="00D9223A">
      <w:pPr>
        <w:ind w:left="397" w:right="-35" w:hanging="113"/>
        <w:jc w:val="both"/>
        <w:rPr>
          <w:rFonts w:ascii="Bookman Old Style" w:hAnsi="Bookman Old Style" w:cs="Arial"/>
          <w:i/>
          <w:iCs/>
          <w:sz w:val="28"/>
          <w:szCs w:val="28"/>
          <w:lang w:val="el-GR"/>
        </w:rPr>
      </w:pPr>
    </w:p>
    <w:p w14:paraId="225E3645" w14:textId="656DDE15" w:rsidR="004C29CA" w:rsidRPr="007A0D8E" w:rsidRDefault="009C1752" w:rsidP="008E4CC4">
      <w:pPr>
        <w:ind w:left="397" w:right="-35" w:hanging="113"/>
        <w:jc w:val="both"/>
        <w:rPr>
          <w:rFonts w:ascii="Bookman Old Style" w:hAnsi="Bookman Old Style" w:cs="Arial"/>
          <w:iCs/>
          <w:sz w:val="28"/>
          <w:szCs w:val="28"/>
          <w:lang w:val="el-GR"/>
        </w:rPr>
      </w:pPr>
      <w:r>
        <w:rPr>
          <w:rFonts w:ascii="Bookman Old Style" w:hAnsi="Bookman Old Style" w:cs="Arial"/>
          <w:i/>
          <w:iCs/>
          <w:sz w:val="28"/>
          <w:szCs w:val="28"/>
          <w:lang w:val="el-GR"/>
        </w:rPr>
        <w:t>Κ. Χριστοδουλίδης</w:t>
      </w:r>
      <w:r w:rsidR="004C29CA" w:rsidRPr="007A0D8E">
        <w:rPr>
          <w:rFonts w:ascii="Bookman Old Style" w:hAnsi="Bookman Old Style" w:cs="Arial"/>
          <w:i/>
          <w:iCs/>
          <w:sz w:val="28"/>
          <w:szCs w:val="28"/>
          <w:lang w:val="el-GR"/>
        </w:rPr>
        <w:t xml:space="preserve">, </w:t>
      </w:r>
      <w:r w:rsidR="004C29CA" w:rsidRPr="007A0D8E">
        <w:rPr>
          <w:rFonts w:ascii="Bookman Old Style" w:hAnsi="Bookman Old Style" w:cs="Arial"/>
          <w:iCs/>
          <w:sz w:val="28"/>
          <w:szCs w:val="28"/>
          <w:lang w:val="el-GR"/>
        </w:rPr>
        <w:t xml:space="preserve">για </w:t>
      </w:r>
      <w:r w:rsidR="00813110">
        <w:rPr>
          <w:rFonts w:ascii="Bookman Old Style" w:hAnsi="Bookman Old Style" w:cs="Arial"/>
          <w:iCs/>
          <w:sz w:val="28"/>
          <w:szCs w:val="28"/>
          <w:lang w:val="el-GR"/>
        </w:rPr>
        <w:t>την Αιτήτρια</w:t>
      </w:r>
      <w:r w:rsidR="004C29CA" w:rsidRPr="007A0D8E">
        <w:rPr>
          <w:rFonts w:ascii="Bookman Old Style" w:hAnsi="Bookman Old Style" w:cs="Arial"/>
          <w:iCs/>
          <w:sz w:val="28"/>
          <w:szCs w:val="28"/>
          <w:lang w:val="el-GR"/>
        </w:rPr>
        <w:t>.</w:t>
      </w:r>
    </w:p>
    <w:p w14:paraId="1354A878" w14:textId="77777777" w:rsidR="004C29CA" w:rsidRDefault="004C29CA" w:rsidP="008E4CC4">
      <w:pPr>
        <w:ind w:left="397" w:right="-35" w:hanging="113"/>
        <w:jc w:val="both"/>
        <w:rPr>
          <w:rFonts w:ascii="Bookman Old Style" w:hAnsi="Bookman Old Style" w:cs="Arial"/>
          <w:iCs/>
          <w:sz w:val="28"/>
          <w:szCs w:val="28"/>
          <w:lang w:val="el-GR"/>
        </w:rPr>
      </w:pPr>
    </w:p>
    <w:p w14:paraId="31CFCE4C" w14:textId="77777777" w:rsidR="002D08D5" w:rsidRDefault="002D08D5" w:rsidP="008E4CC4">
      <w:pPr>
        <w:ind w:right="-35"/>
        <w:jc w:val="center"/>
        <w:rPr>
          <w:rFonts w:ascii="Bookman Old Style" w:hAnsi="Bookman Old Style" w:cs="Arial"/>
          <w:iCs/>
          <w:sz w:val="28"/>
          <w:szCs w:val="28"/>
          <w:lang w:val="el-GR"/>
        </w:rPr>
      </w:pPr>
      <w:r>
        <w:rPr>
          <w:rFonts w:ascii="Bookman Old Style" w:hAnsi="Bookman Old Style" w:cs="Arial"/>
          <w:iCs/>
          <w:sz w:val="28"/>
          <w:szCs w:val="28"/>
          <w:lang w:val="el-GR"/>
        </w:rPr>
        <w:t>________________________________________________</w:t>
      </w:r>
    </w:p>
    <w:p w14:paraId="0C2A1720" w14:textId="77777777" w:rsidR="002D08D5" w:rsidRDefault="002D08D5" w:rsidP="008E4CC4">
      <w:pPr>
        <w:ind w:left="397" w:right="-35" w:hanging="113"/>
        <w:jc w:val="both"/>
        <w:rPr>
          <w:rFonts w:ascii="Bookman Old Style" w:hAnsi="Bookman Old Style" w:cs="Arial"/>
          <w:i/>
          <w:iCs/>
          <w:sz w:val="28"/>
          <w:szCs w:val="28"/>
          <w:lang w:val="el-GR"/>
        </w:rPr>
      </w:pPr>
    </w:p>
    <w:p w14:paraId="5080FDCF" w14:textId="54237B89" w:rsidR="004C29CA" w:rsidRDefault="004C29CA" w:rsidP="008E4CC4">
      <w:pPr>
        <w:spacing w:line="360" w:lineRule="auto"/>
        <w:ind w:right="-35"/>
        <w:jc w:val="center"/>
        <w:rPr>
          <w:rFonts w:ascii="Bookman Old Style" w:hAnsi="Bookman Old Style" w:cs="Arial"/>
          <w:b/>
          <w:bCs/>
          <w:caps/>
          <w:sz w:val="34"/>
          <w:szCs w:val="34"/>
          <w:u w:val="thick"/>
          <w:lang w:val="el-GR"/>
        </w:rPr>
      </w:pPr>
      <w:r w:rsidRPr="00B07023">
        <w:rPr>
          <w:rFonts w:ascii="Bookman Old Style" w:hAnsi="Bookman Old Style" w:cs="Arial"/>
          <w:b/>
          <w:bCs/>
          <w:caps/>
          <w:sz w:val="34"/>
          <w:szCs w:val="34"/>
          <w:u w:val="thick"/>
          <w:lang w:val="el-GR"/>
        </w:rPr>
        <w:t>Α Π Ο Φ Α Σ Η</w:t>
      </w:r>
    </w:p>
    <w:p w14:paraId="7461B52A" w14:textId="2A6D4683" w:rsidR="008218F9" w:rsidRPr="009B04DB" w:rsidRDefault="008218F9" w:rsidP="008E4CC4">
      <w:pPr>
        <w:spacing w:line="360" w:lineRule="auto"/>
        <w:ind w:right="-35"/>
        <w:jc w:val="center"/>
        <w:rPr>
          <w:rFonts w:ascii="Bookman Old Style" w:hAnsi="Bookman Old Style" w:cs="Arial"/>
          <w:b/>
          <w:bCs/>
          <w:caps/>
          <w:sz w:val="28"/>
          <w:szCs w:val="28"/>
          <w:lang w:val="el-GR"/>
        </w:rPr>
      </w:pPr>
      <w:r w:rsidRPr="009B04DB">
        <w:rPr>
          <w:rFonts w:ascii="Bookman Old Style" w:hAnsi="Bookman Old Style" w:cs="Arial"/>
          <w:b/>
          <w:bCs/>
          <w:caps/>
          <w:sz w:val="28"/>
          <w:szCs w:val="28"/>
          <w:lang w:val="el-GR"/>
        </w:rPr>
        <w:t>(</w:t>
      </w:r>
      <w:r w:rsidRPr="008218F9">
        <w:rPr>
          <w:rFonts w:ascii="Bookman Old Style" w:hAnsi="Bookman Old Style" w:cs="Arial"/>
          <w:b/>
          <w:bCs/>
          <w:caps/>
          <w:sz w:val="28"/>
          <w:szCs w:val="28"/>
          <w:lang w:val="en-US"/>
        </w:rPr>
        <w:t>ex</w:t>
      </w:r>
      <w:r w:rsidRPr="009B04DB">
        <w:rPr>
          <w:rFonts w:ascii="Bookman Old Style" w:hAnsi="Bookman Old Style" w:cs="Arial"/>
          <w:b/>
          <w:bCs/>
          <w:caps/>
          <w:sz w:val="28"/>
          <w:szCs w:val="28"/>
          <w:lang w:val="el-GR"/>
        </w:rPr>
        <w:t>-</w:t>
      </w:r>
      <w:r w:rsidRPr="008218F9">
        <w:rPr>
          <w:rFonts w:ascii="Bookman Old Style" w:hAnsi="Bookman Old Style" w:cs="Arial"/>
          <w:b/>
          <w:bCs/>
          <w:caps/>
          <w:sz w:val="28"/>
          <w:szCs w:val="28"/>
          <w:lang w:val="en-US"/>
        </w:rPr>
        <w:t>tempore</w:t>
      </w:r>
      <w:r w:rsidRPr="009B04DB">
        <w:rPr>
          <w:rFonts w:ascii="Bookman Old Style" w:hAnsi="Bookman Old Style" w:cs="Arial"/>
          <w:b/>
          <w:bCs/>
          <w:caps/>
          <w:sz w:val="28"/>
          <w:szCs w:val="28"/>
          <w:lang w:val="el-GR"/>
        </w:rPr>
        <w:t>)</w:t>
      </w:r>
    </w:p>
    <w:p w14:paraId="7F95CEC7" w14:textId="77777777" w:rsidR="004C29CA" w:rsidRPr="008218F9" w:rsidRDefault="004C29CA" w:rsidP="008E4CC4">
      <w:pPr>
        <w:tabs>
          <w:tab w:val="left" w:pos="624"/>
        </w:tabs>
        <w:ind w:left="681" w:right="-35" w:hanging="397"/>
        <w:jc w:val="both"/>
        <w:rPr>
          <w:rFonts w:ascii="Bookman Old Style" w:hAnsi="Bookman Old Style" w:cs="Arial"/>
          <w:b/>
          <w:bCs/>
          <w:sz w:val="28"/>
          <w:szCs w:val="28"/>
          <w:lang w:val="el-GR"/>
        </w:rPr>
      </w:pPr>
    </w:p>
    <w:p w14:paraId="64921B05" w14:textId="77777777" w:rsidR="00CF67DC" w:rsidRDefault="00CF67DC" w:rsidP="008E4CC4">
      <w:pPr>
        <w:tabs>
          <w:tab w:val="left" w:pos="624"/>
        </w:tabs>
        <w:ind w:left="681" w:right="-35" w:hanging="397"/>
        <w:jc w:val="both"/>
        <w:rPr>
          <w:rFonts w:ascii="Bookman Old Style" w:hAnsi="Bookman Old Style" w:cs="Arial"/>
          <w:b/>
          <w:bCs/>
          <w:sz w:val="28"/>
          <w:szCs w:val="28"/>
          <w:lang w:val="el-GR"/>
        </w:rPr>
      </w:pPr>
    </w:p>
    <w:p w14:paraId="66764087" w14:textId="040F265E" w:rsidR="00F2219C" w:rsidRDefault="00587283" w:rsidP="008E4CC4">
      <w:pPr>
        <w:spacing w:line="480" w:lineRule="auto"/>
        <w:ind w:right="-35"/>
        <w:jc w:val="both"/>
        <w:rPr>
          <w:rFonts w:ascii="Bookman Old Style" w:hAnsi="Bookman Old Style" w:cs="Arial"/>
          <w:sz w:val="28"/>
          <w:szCs w:val="28"/>
          <w:lang w:val="el-GR"/>
        </w:rPr>
      </w:pPr>
      <w:r>
        <w:rPr>
          <w:rFonts w:ascii="Bookman Old Style" w:hAnsi="Bookman Old Style" w:cs="Arial"/>
          <w:b/>
          <w:sz w:val="28"/>
          <w:szCs w:val="28"/>
          <w:lang w:val="el-GR"/>
        </w:rPr>
        <w:t xml:space="preserve">Λ. </w:t>
      </w:r>
      <w:r w:rsidR="007A0D8E" w:rsidRPr="00B07023">
        <w:rPr>
          <w:rFonts w:ascii="Bookman Old Style" w:hAnsi="Bookman Old Style" w:cs="Arial"/>
          <w:b/>
          <w:sz w:val="28"/>
          <w:szCs w:val="28"/>
          <w:lang w:val="el-GR"/>
        </w:rPr>
        <w:t>ΔΗΜΗΤΡΙΑΔΟΥ-ΑΝΔΡΕΟΥ</w:t>
      </w:r>
      <w:r w:rsidR="004C29CA" w:rsidRPr="00B07023">
        <w:rPr>
          <w:rFonts w:ascii="Bookman Old Style" w:hAnsi="Bookman Old Style" w:cs="Arial"/>
          <w:b/>
          <w:sz w:val="28"/>
          <w:szCs w:val="28"/>
          <w:lang w:val="el-GR"/>
        </w:rPr>
        <w:t>, Δ</w:t>
      </w:r>
      <w:r w:rsidR="004C29CA" w:rsidRPr="00B07023">
        <w:rPr>
          <w:rFonts w:ascii="Bookman Old Style" w:hAnsi="Bookman Old Style" w:cs="Arial"/>
          <w:sz w:val="28"/>
          <w:szCs w:val="28"/>
          <w:lang w:val="el-GR"/>
        </w:rPr>
        <w:t>.:</w:t>
      </w:r>
      <w:r w:rsidR="008E79DE" w:rsidRPr="00B07023">
        <w:rPr>
          <w:rFonts w:ascii="Bookman Old Style" w:hAnsi="Bookman Old Style" w:cs="Arial"/>
          <w:sz w:val="28"/>
          <w:szCs w:val="28"/>
          <w:lang w:val="el-GR"/>
        </w:rPr>
        <w:t xml:space="preserve"> </w:t>
      </w:r>
      <w:r w:rsidR="00A54111">
        <w:rPr>
          <w:rFonts w:ascii="Bookman Old Style" w:hAnsi="Bookman Old Style" w:cs="Arial"/>
          <w:sz w:val="28"/>
          <w:szCs w:val="28"/>
          <w:lang w:val="el-GR"/>
        </w:rPr>
        <w:t>Η Αιτήτρια εταιρεία</w:t>
      </w:r>
      <w:r w:rsidR="00412E1D">
        <w:rPr>
          <w:rFonts w:ascii="Bookman Old Style" w:hAnsi="Bookman Old Style" w:cs="Arial"/>
          <w:sz w:val="28"/>
          <w:szCs w:val="28"/>
          <w:lang w:val="el-GR"/>
        </w:rPr>
        <w:t xml:space="preserve"> (εφεξής η Αιτήτρια)</w:t>
      </w:r>
      <w:r w:rsidR="00A54111">
        <w:rPr>
          <w:rFonts w:ascii="Bookman Old Style" w:hAnsi="Bookman Old Style" w:cs="Arial"/>
          <w:sz w:val="28"/>
          <w:szCs w:val="28"/>
          <w:lang w:val="el-GR"/>
        </w:rPr>
        <w:t xml:space="preserve"> με την παρούσα Αίτηση ζητά άδεια για την καταχώρηση </w:t>
      </w:r>
      <w:r w:rsidR="00D91562">
        <w:rPr>
          <w:rFonts w:ascii="Bookman Old Style" w:hAnsi="Bookman Old Style" w:cs="Arial"/>
          <w:sz w:val="28"/>
          <w:szCs w:val="28"/>
          <w:lang w:val="el-GR"/>
        </w:rPr>
        <w:t>Α</w:t>
      </w:r>
      <w:r w:rsidR="00A54111">
        <w:rPr>
          <w:rFonts w:ascii="Bookman Old Style" w:hAnsi="Bookman Old Style" w:cs="Arial"/>
          <w:sz w:val="28"/>
          <w:szCs w:val="28"/>
          <w:lang w:val="el-GR"/>
        </w:rPr>
        <w:t xml:space="preserve">ίτησης δια κλήσεως για την έκδοση </w:t>
      </w:r>
      <w:r w:rsidR="00D91562">
        <w:rPr>
          <w:rFonts w:ascii="Bookman Old Style" w:hAnsi="Bookman Old Style" w:cs="Arial"/>
          <w:sz w:val="28"/>
          <w:szCs w:val="28"/>
          <w:lang w:val="el-GR"/>
        </w:rPr>
        <w:t xml:space="preserve">Προνομιακού Εντάλματος </w:t>
      </w:r>
      <w:r w:rsidR="00A54111">
        <w:rPr>
          <w:rFonts w:ascii="Bookman Old Style" w:hAnsi="Bookman Old Style" w:cs="Arial"/>
          <w:i/>
          <w:iCs/>
          <w:sz w:val="28"/>
          <w:szCs w:val="28"/>
          <w:lang w:val="en-US"/>
        </w:rPr>
        <w:t>Certiorari</w:t>
      </w:r>
      <w:r w:rsidR="00A54111">
        <w:rPr>
          <w:rFonts w:ascii="Bookman Old Style" w:hAnsi="Bookman Old Style" w:cs="Arial"/>
          <w:sz w:val="28"/>
          <w:szCs w:val="28"/>
          <w:lang w:val="el-GR"/>
        </w:rPr>
        <w:t xml:space="preserve"> για να τεθεί ενώπιον του Ανωτάτου Δικαστηρίου προς το σκοπό ακύρωσης του </w:t>
      </w:r>
      <w:r w:rsidR="00D91562">
        <w:rPr>
          <w:rFonts w:ascii="Bookman Old Style" w:hAnsi="Bookman Old Style" w:cs="Arial"/>
          <w:sz w:val="28"/>
          <w:szCs w:val="28"/>
          <w:lang w:val="el-GR"/>
        </w:rPr>
        <w:t>Εντάλματος Έρευνας</w:t>
      </w:r>
      <w:r w:rsidR="00A54111">
        <w:rPr>
          <w:rFonts w:ascii="Bookman Old Style" w:hAnsi="Bookman Old Style" w:cs="Arial"/>
          <w:sz w:val="28"/>
          <w:szCs w:val="28"/>
          <w:lang w:val="el-GR"/>
        </w:rPr>
        <w:t xml:space="preserve"> ημερ. 15/5/2023, το οποίο εκδόθηκε από το Επαρχιακό Δικαστήριο Λάρνακας (εφεξής </w:t>
      </w:r>
      <w:r w:rsidR="00A54111">
        <w:rPr>
          <w:rFonts w:ascii="Bookman Old Style" w:hAnsi="Bookman Old Style" w:cs="Arial"/>
          <w:i/>
          <w:iCs/>
          <w:sz w:val="28"/>
          <w:szCs w:val="28"/>
          <w:lang w:val="el-GR"/>
        </w:rPr>
        <w:t>Κατώτερο Δικαστήριο</w:t>
      </w:r>
      <w:r w:rsidR="00A54111">
        <w:rPr>
          <w:rFonts w:ascii="Bookman Old Style" w:hAnsi="Bookman Old Style" w:cs="Arial"/>
          <w:sz w:val="28"/>
          <w:szCs w:val="28"/>
          <w:lang w:val="el-GR"/>
        </w:rPr>
        <w:t>).</w:t>
      </w:r>
    </w:p>
    <w:p w14:paraId="64C97425" w14:textId="77777777" w:rsidR="00F2219C" w:rsidRDefault="00F2219C" w:rsidP="008E4CC4">
      <w:pPr>
        <w:spacing w:line="480" w:lineRule="auto"/>
        <w:ind w:right="-35"/>
        <w:jc w:val="both"/>
        <w:rPr>
          <w:rFonts w:ascii="Bookman Old Style" w:hAnsi="Bookman Old Style" w:cs="Arial"/>
          <w:sz w:val="28"/>
          <w:szCs w:val="28"/>
          <w:lang w:val="el-GR"/>
        </w:rPr>
      </w:pPr>
    </w:p>
    <w:p w14:paraId="060B8419" w14:textId="7F6EB0E8" w:rsidR="00BE33E9" w:rsidRDefault="00BE33E9" w:rsidP="00F2219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εν λόγω Ένταλμα εκδόθηκε στη βάση ένορκης δήλωσης του Λοχία 2421, </w:t>
      </w:r>
      <w:r w:rsidR="00412E1D">
        <w:rPr>
          <w:rFonts w:ascii="Bookman Old Style" w:hAnsi="Bookman Old Style" w:cs="Arial"/>
          <w:sz w:val="28"/>
          <w:szCs w:val="28"/>
          <w:lang w:val="el-GR"/>
        </w:rPr>
        <w:t>Ο. Εφραίμ</w:t>
      </w:r>
      <w:r>
        <w:rPr>
          <w:rFonts w:ascii="Bookman Old Style" w:hAnsi="Bookman Old Style" w:cs="Arial"/>
          <w:sz w:val="28"/>
          <w:szCs w:val="28"/>
          <w:lang w:val="el-GR"/>
        </w:rPr>
        <w:t xml:space="preserve"> του Κλάδου</w:t>
      </w:r>
      <w:r w:rsidRPr="00BE33E9">
        <w:rPr>
          <w:rFonts w:ascii="Bookman Old Style" w:hAnsi="Bookman Old Style" w:cs="Arial"/>
          <w:sz w:val="28"/>
          <w:szCs w:val="28"/>
          <w:lang w:val="el-GR"/>
        </w:rPr>
        <w:t xml:space="preserve"> </w:t>
      </w:r>
      <w:r>
        <w:rPr>
          <w:rFonts w:ascii="Bookman Old Style" w:hAnsi="Bookman Old Style" w:cs="Arial"/>
          <w:sz w:val="28"/>
          <w:szCs w:val="28"/>
          <w:lang w:val="el-GR"/>
        </w:rPr>
        <w:t>Καταπολέμησης Αδικημάτων Κλοπής Πνευματικής Ιδιοκτησίας και Παράνομων Στοιχημάτων στην οποία αναφέρετο ότι διερευνάτο πληροφορία που αφορούσε στα ακόλουθα αδικήματα:</w:t>
      </w:r>
    </w:p>
    <w:p w14:paraId="7B87BF69" w14:textId="1C550E1F" w:rsidR="00D91562" w:rsidRDefault="00BE33E9" w:rsidP="00F2219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 </w:t>
      </w:r>
    </w:p>
    <w:p w14:paraId="60152438" w14:textId="30A93D2C" w:rsidR="00BE33E9" w:rsidRPr="009356E4" w:rsidRDefault="00BE33E9" w:rsidP="00F2219C">
      <w:pPr>
        <w:pStyle w:val="Bodytext20"/>
        <w:numPr>
          <w:ilvl w:val="0"/>
          <w:numId w:val="21"/>
        </w:numPr>
        <w:shd w:val="clear" w:color="auto" w:fill="auto"/>
        <w:tabs>
          <w:tab w:val="left" w:pos="292"/>
        </w:tabs>
        <w:spacing w:before="0" w:line="360" w:lineRule="auto"/>
        <w:rPr>
          <w:rFonts w:ascii="Bookman Old Style" w:hAnsi="Bookman Old Style"/>
          <w:sz w:val="26"/>
          <w:szCs w:val="26"/>
        </w:rPr>
      </w:pPr>
      <w:r w:rsidRPr="009356E4">
        <w:rPr>
          <w:rFonts w:ascii="Bookman Old Style" w:hAnsi="Bookman Old Style"/>
          <w:color w:val="000000"/>
          <w:sz w:val="26"/>
          <w:szCs w:val="26"/>
          <w:lang w:bidi="el-GR"/>
        </w:rPr>
        <w:t>Διεξαγωγή επιχείρησης φαρμακοποιού από πρόσωπο μη εγγεγραμμένο ως φαρμακοποιός [Άρθρα 4(1)(α) και 43, Κεφ. 254]</w:t>
      </w:r>
      <w:r w:rsidR="009356E4">
        <w:rPr>
          <w:rFonts w:ascii="Bookman Old Style" w:hAnsi="Bookman Old Style"/>
          <w:color w:val="000000"/>
          <w:sz w:val="26"/>
          <w:szCs w:val="26"/>
          <w:lang w:bidi="el-GR"/>
        </w:rPr>
        <w:t>.</w:t>
      </w:r>
    </w:p>
    <w:p w14:paraId="261B59AD" w14:textId="6E71E8AF" w:rsidR="00BE33E9" w:rsidRPr="009356E4" w:rsidRDefault="00BE33E9" w:rsidP="00F2219C">
      <w:pPr>
        <w:pStyle w:val="Bodytext20"/>
        <w:numPr>
          <w:ilvl w:val="0"/>
          <w:numId w:val="21"/>
        </w:numPr>
        <w:shd w:val="clear" w:color="auto" w:fill="auto"/>
        <w:tabs>
          <w:tab w:val="left" w:pos="298"/>
        </w:tabs>
        <w:spacing w:before="0" w:line="360" w:lineRule="auto"/>
        <w:rPr>
          <w:rFonts w:ascii="Bookman Old Style" w:hAnsi="Bookman Old Style"/>
          <w:sz w:val="26"/>
          <w:szCs w:val="26"/>
        </w:rPr>
      </w:pPr>
      <w:r w:rsidRPr="009356E4">
        <w:rPr>
          <w:rFonts w:ascii="Bookman Old Style" w:hAnsi="Bookman Old Style"/>
          <w:sz w:val="26"/>
          <w:szCs w:val="26"/>
        </w:rPr>
        <w:t>Κυκλο</w:t>
      </w:r>
      <w:r w:rsidR="009356E4" w:rsidRPr="009356E4">
        <w:rPr>
          <w:rFonts w:ascii="Bookman Old Style" w:hAnsi="Bookman Old Style"/>
          <w:sz w:val="26"/>
          <w:szCs w:val="26"/>
        </w:rPr>
        <w:t>φορία Φαρμακευτικών</w:t>
      </w:r>
      <w:r w:rsidRPr="009356E4">
        <w:rPr>
          <w:rFonts w:ascii="Bookman Old Style" w:hAnsi="Bookman Old Style"/>
          <w:sz w:val="26"/>
          <w:szCs w:val="26"/>
        </w:rPr>
        <w:t xml:space="preserve"> προϊόντων χωρίς άδεια κυκλ</w:t>
      </w:r>
      <w:r w:rsidRPr="009356E4">
        <w:rPr>
          <w:rFonts w:ascii="Bookman Old Style" w:hAnsi="Bookman Old Style"/>
          <w:color w:val="000000"/>
          <w:sz w:val="26"/>
          <w:szCs w:val="26"/>
          <w:lang w:bidi="el-GR"/>
        </w:rPr>
        <w:t>οφορίας [Άρθρα 9(1) και 99 του περί Φαρμάκων Ανθρώπινης Χρήσης (</w:t>
      </w:r>
      <w:r w:rsidR="009356E4" w:rsidRPr="009356E4">
        <w:rPr>
          <w:rFonts w:ascii="Bookman Old Style" w:hAnsi="Bookman Old Style"/>
          <w:color w:val="000000"/>
          <w:sz w:val="26"/>
          <w:szCs w:val="26"/>
          <w:lang w:bidi="el-GR"/>
        </w:rPr>
        <w:t>Έλεγχος</w:t>
      </w:r>
      <w:r w:rsidRPr="009356E4">
        <w:rPr>
          <w:rFonts w:ascii="Bookman Old Style" w:hAnsi="Bookman Old Style"/>
          <w:color w:val="000000"/>
          <w:sz w:val="26"/>
          <w:szCs w:val="26"/>
          <w:lang w:bidi="el-GR"/>
        </w:rPr>
        <w:t xml:space="preserve"> Ποιότητας, Προμήθειας και Τιμών) Νόμος του 2001, Ν</w:t>
      </w:r>
      <w:r w:rsidR="0068733F">
        <w:rPr>
          <w:rFonts w:ascii="Bookman Old Style" w:hAnsi="Bookman Old Style"/>
          <w:color w:val="000000"/>
          <w:sz w:val="26"/>
          <w:szCs w:val="26"/>
          <w:lang w:bidi="el-GR"/>
        </w:rPr>
        <w:t>.</w:t>
      </w:r>
      <w:r w:rsidRPr="009356E4">
        <w:rPr>
          <w:rFonts w:ascii="Bookman Old Style" w:hAnsi="Bookman Old Style"/>
          <w:color w:val="000000"/>
          <w:sz w:val="26"/>
          <w:szCs w:val="26"/>
          <w:lang w:bidi="el-GR"/>
        </w:rPr>
        <w:t xml:space="preserve"> 70(Ι)/2001]</w:t>
      </w:r>
      <w:r w:rsidR="009356E4">
        <w:rPr>
          <w:rFonts w:ascii="Bookman Old Style" w:hAnsi="Bookman Old Style"/>
          <w:color w:val="000000"/>
          <w:sz w:val="26"/>
          <w:szCs w:val="26"/>
          <w:lang w:bidi="el-GR"/>
        </w:rPr>
        <w:t>.</w:t>
      </w:r>
    </w:p>
    <w:p w14:paraId="758C820A" w14:textId="2FF6DF4E" w:rsidR="009356E4" w:rsidRPr="009356E4" w:rsidRDefault="00BE33E9" w:rsidP="009356E4">
      <w:pPr>
        <w:pStyle w:val="Bodytext20"/>
        <w:numPr>
          <w:ilvl w:val="0"/>
          <w:numId w:val="21"/>
        </w:numPr>
        <w:shd w:val="clear" w:color="auto" w:fill="auto"/>
        <w:tabs>
          <w:tab w:val="left" w:pos="298"/>
        </w:tabs>
        <w:spacing w:before="0" w:line="360" w:lineRule="auto"/>
        <w:rPr>
          <w:rFonts w:ascii="Bookman Old Style" w:hAnsi="Bookman Old Style"/>
          <w:sz w:val="26"/>
          <w:szCs w:val="26"/>
        </w:rPr>
      </w:pPr>
      <w:r w:rsidRPr="009356E4">
        <w:rPr>
          <w:rFonts w:ascii="Bookman Old Style" w:hAnsi="Bookman Old Style"/>
          <w:color w:val="000000"/>
          <w:sz w:val="26"/>
          <w:szCs w:val="26"/>
          <w:lang w:bidi="el-GR"/>
        </w:rPr>
        <w:t>Παράνομη κατοχή ελεγχόμενου φαρμάκου τάξεως Α [</w:t>
      </w:r>
      <w:r w:rsidR="009356E4" w:rsidRPr="009356E4">
        <w:rPr>
          <w:rFonts w:ascii="Bookman Old Style" w:hAnsi="Bookman Old Style"/>
          <w:color w:val="000000"/>
          <w:sz w:val="26"/>
          <w:szCs w:val="26"/>
          <w:lang w:bidi="el-GR"/>
        </w:rPr>
        <w:t>Άρθρα</w:t>
      </w:r>
      <w:r w:rsidRPr="009356E4">
        <w:rPr>
          <w:rFonts w:ascii="Bookman Old Style" w:hAnsi="Bookman Old Style"/>
          <w:color w:val="000000"/>
          <w:sz w:val="26"/>
          <w:szCs w:val="26"/>
          <w:lang w:bidi="el-GR"/>
        </w:rPr>
        <w:t xml:space="preserve"> 6 (1) και (2) του περί Ναρκωτικών Φαρμάκων και Ψυχοτρόπων Ουσιών Νόμου (Ν.</w:t>
      </w:r>
      <w:r w:rsidR="0068733F">
        <w:rPr>
          <w:rFonts w:ascii="Bookman Old Style" w:hAnsi="Bookman Old Style"/>
          <w:color w:val="000000"/>
          <w:sz w:val="26"/>
          <w:szCs w:val="26"/>
          <w:lang w:bidi="el-GR"/>
        </w:rPr>
        <w:t xml:space="preserve"> </w:t>
      </w:r>
      <w:r w:rsidRPr="009356E4">
        <w:rPr>
          <w:rFonts w:ascii="Bookman Old Style" w:hAnsi="Bookman Old Style"/>
          <w:color w:val="000000"/>
          <w:sz w:val="26"/>
          <w:szCs w:val="26"/>
          <w:lang w:bidi="el-GR"/>
        </w:rPr>
        <w:t>29/1977</w:t>
      </w:r>
      <w:r w:rsidR="009356E4">
        <w:rPr>
          <w:rFonts w:ascii="Bookman Old Style" w:hAnsi="Bookman Old Style"/>
          <w:color w:val="000000"/>
          <w:sz w:val="26"/>
          <w:szCs w:val="26"/>
          <w:lang w:bidi="el-GR"/>
        </w:rPr>
        <w:t>).</w:t>
      </w:r>
    </w:p>
    <w:p w14:paraId="6C6129CD" w14:textId="2CE17294" w:rsidR="00D91562" w:rsidRPr="009356E4" w:rsidRDefault="00BE33E9" w:rsidP="009356E4">
      <w:pPr>
        <w:pStyle w:val="Bodytext20"/>
        <w:numPr>
          <w:ilvl w:val="0"/>
          <w:numId w:val="21"/>
        </w:numPr>
        <w:shd w:val="clear" w:color="auto" w:fill="auto"/>
        <w:tabs>
          <w:tab w:val="left" w:pos="298"/>
        </w:tabs>
        <w:spacing w:before="0" w:line="360" w:lineRule="auto"/>
        <w:rPr>
          <w:rFonts w:ascii="Bookman Old Style" w:hAnsi="Bookman Old Style"/>
          <w:sz w:val="26"/>
          <w:szCs w:val="26"/>
        </w:rPr>
      </w:pPr>
      <w:r w:rsidRPr="009356E4">
        <w:rPr>
          <w:rFonts w:ascii="Bookman Old Style" w:hAnsi="Bookman Old Style"/>
          <w:color w:val="000000"/>
          <w:sz w:val="26"/>
          <w:szCs w:val="26"/>
          <w:lang w:bidi="el-GR"/>
        </w:rPr>
        <w:t>)Παράνομη κατοχή ελεγχόμενου φαρμάκου τάξεως Α με σκοπό την προμήθεια σε άλλα πρόσωπα, [Άρθρο 6 (3) του περί Ναρκωτικών Φαρμάκων και Ψυχοτρόπων Ουσιών Νόμου (Ν</w:t>
      </w:r>
      <w:r w:rsidR="009356E4">
        <w:rPr>
          <w:rFonts w:ascii="Bookman Old Style" w:hAnsi="Bookman Old Style"/>
          <w:color w:val="000000"/>
          <w:sz w:val="26"/>
          <w:szCs w:val="26"/>
          <w:lang w:bidi="el-GR"/>
        </w:rPr>
        <w:t>.</w:t>
      </w:r>
      <w:r w:rsidR="0068733F">
        <w:rPr>
          <w:rFonts w:ascii="Bookman Old Style" w:hAnsi="Bookman Old Style"/>
          <w:color w:val="000000"/>
          <w:sz w:val="26"/>
          <w:szCs w:val="26"/>
          <w:lang w:bidi="el-GR"/>
        </w:rPr>
        <w:t xml:space="preserve"> </w:t>
      </w:r>
      <w:r w:rsidRPr="009356E4">
        <w:rPr>
          <w:rFonts w:ascii="Bookman Old Style" w:hAnsi="Bookman Old Style"/>
          <w:color w:val="000000"/>
          <w:sz w:val="26"/>
          <w:szCs w:val="26"/>
          <w:lang w:bidi="el-GR"/>
        </w:rPr>
        <w:t>29/1977)</w:t>
      </w:r>
      <w:r w:rsidR="009356E4" w:rsidRPr="009356E4">
        <w:rPr>
          <w:rFonts w:ascii="Bookman Old Style" w:hAnsi="Bookman Old Style"/>
          <w:color w:val="000000"/>
          <w:sz w:val="26"/>
          <w:szCs w:val="26"/>
          <w:lang w:bidi="el-GR"/>
        </w:rPr>
        <w:t>.</w:t>
      </w:r>
    </w:p>
    <w:p w14:paraId="4522AB91" w14:textId="77777777" w:rsidR="009356E4" w:rsidRPr="009356E4" w:rsidRDefault="009356E4" w:rsidP="009356E4">
      <w:pPr>
        <w:pStyle w:val="Bodytext20"/>
        <w:shd w:val="clear" w:color="auto" w:fill="auto"/>
        <w:tabs>
          <w:tab w:val="left" w:pos="298"/>
        </w:tabs>
        <w:spacing w:before="0" w:line="360" w:lineRule="auto"/>
        <w:ind w:left="1160"/>
        <w:rPr>
          <w:rFonts w:ascii="Bookman Old Style" w:hAnsi="Bookman Old Style"/>
          <w:sz w:val="26"/>
          <w:szCs w:val="26"/>
        </w:rPr>
      </w:pPr>
    </w:p>
    <w:p w14:paraId="554ACFDB" w14:textId="77777777" w:rsidR="009356E4" w:rsidRPr="009356E4" w:rsidRDefault="009356E4" w:rsidP="009356E4">
      <w:pPr>
        <w:pStyle w:val="Bodytext20"/>
        <w:shd w:val="clear" w:color="auto" w:fill="auto"/>
        <w:tabs>
          <w:tab w:val="left" w:pos="298"/>
        </w:tabs>
        <w:spacing w:before="0" w:line="360" w:lineRule="auto"/>
        <w:ind w:left="440"/>
        <w:rPr>
          <w:rFonts w:ascii="Bookman Old Style" w:hAnsi="Bookman Old Style"/>
          <w:sz w:val="26"/>
          <w:szCs w:val="26"/>
        </w:rPr>
      </w:pPr>
    </w:p>
    <w:p w14:paraId="4D5538E2" w14:textId="7FAF5F26" w:rsidR="005768FF" w:rsidRDefault="00A54111" w:rsidP="009356E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Η</w:t>
      </w:r>
      <w:r w:rsidR="009356E4">
        <w:rPr>
          <w:rFonts w:ascii="Bookman Old Style" w:hAnsi="Bookman Old Style" w:cs="Arial"/>
          <w:sz w:val="28"/>
          <w:szCs w:val="28"/>
          <w:lang w:val="el-GR"/>
        </w:rPr>
        <w:t xml:space="preserve"> υπό</w:t>
      </w:r>
      <w:r w:rsidR="00F2219C">
        <w:rPr>
          <w:rFonts w:ascii="Bookman Old Style" w:hAnsi="Bookman Old Style" w:cs="Arial"/>
          <w:sz w:val="28"/>
          <w:szCs w:val="28"/>
          <w:lang w:val="el-GR"/>
        </w:rPr>
        <w:t xml:space="preserve"> κρίση</w:t>
      </w:r>
      <w:r>
        <w:rPr>
          <w:rFonts w:ascii="Bookman Old Style" w:hAnsi="Bookman Old Style" w:cs="Arial"/>
          <w:sz w:val="28"/>
          <w:szCs w:val="28"/>
          <w:lang w:val="el-GR"/>
        </w:rPr>
        <w:t xml:space="preserve"> Αίτηση συνοδεύεται από </w:t>
      </w:r>
      <w:r w:rsidR="00D91562">
        <w:rPr>
          <w:rFonts w:ascii="Bookman Old Style" w:hAnsi="Bookman Old Style" w:cs="Arial"/>
          <w:sz w:val="28"/>
          <w:szCs w:val="28"/>
          <w:lang w:val="el-GR"/>
        </w:rPr>
        <w:t xml:space="preserve">Έκθεση </w:t>
      </w:r>
      <w:r>
        <w:rPr>
          <w:rFonts w:ascii="Bookman Old Style" w:hAnsi="Bookman Old Style" w:cs="Arial"/>
          <w:sz w:val="28"/>
          <w:szCs w:val="28"/>
          <w:lang w:val="el-GR"/>
        </w:rPr>
        <w:t xml:space="preserve">και από </w:t>
      </w:r>
      <w:r w:rsidR="00D91562">
        <w:rPr>
          <w:rFonts w:ascii="Bookman Old Style" w:hAnsi="Bookman Old Style" w:cs="Arial"/>
          <w:sz w:val="28"/>
          <w:szCs w:val="28"/>
          <w:lang w:val="el-GR"/>
        </w:rPr>
        <w:t xml:space="preserve">Ένορκη Δήλωση </w:t>
      </w:r>
      <w:r>
        <w:rPr>
          <w:rFonts w:ascii="Bookman Old Style" w:hAnsi="Bookman Old Style" w:cs="Arial"/>
          <w:sz w:val="28"/>
          <w:szCs w:val="28"/>
          <w:lang w:val="el-GR"/>
        </w:rPr>
        <w:t>του</w:t>
      </w:r>
      <w:r w:rsidR="00813110">
        <w:rPr>
          <w:rFonts w:ascii="Bookman Old Style" w:hAnsi="Bookman Old Style" w:cs="Arial"/>
          <w:sz w:val="28"/>
          <w:szCs w:val="28"/>
          <w:lang w:val="el-GR"/>
        </w:rPr>
        <w:t xml:space="preserve"> </w:t>
      </w:r>
      <w:r>
        <w:rPr>
          <w:rFonts w:ascii="Bookman Old Style" w:hAnsi="Bookman Old Style" w:cs="Arial"/>
          <w:sz w:val="28"/>
          <w:szCs w:val="28"/>
          <w:lang w:val="el-GR"/>
        </w:rPr>
        <w:t>Θ. Θεοφάνους, Διευθυντή της Αιτήτριας εταιρείας</w:t>
      </w:r>
      <w:r w:rsidR="004E12ED">
        <w:rPr>
          <w:rFonts w:ascii="Bookman Old Style" w:hAnsi="Bookman Old Style" w:cs="Arial"/>
          <w:sz w:val="28"/>
          <w:szCs w:val="28"/>
          <w:lang w:val="el-GR"/>
        </w:rPr>
        <w:t xml:space="preserve"> (εφεξής Ένορκη Δήλωση Θεοφάνους)</w:t>
      </w:r>
      <w:r>
        <w:rPr>
          <w:rFonts w:ascii="Bookman Old Style" w:hAnsi="Bookman Old Style" w:cs="Arial"/>
          <w:sz w:val="28"/>
          <w:szCs w:val="28"/>
          <w:lang w:val="el-GR"/>
        </w:rPr>
        <w:t xml:space="preserve">. </w:t>
      </w:r>
    </w:p>
    <w:p w14:paraId="71A5C2AB" w14:textId="77777777" w:rsidR="00E71296" w:rsidRDefault="00E71296" w:rsidP="008E4CC4">
      <w:pPr>
        <w:spacing w:line="480" w:lineRule="auto"/>
        <w:ind w:right="-35"/>
        <w:jc w:val="both"/>
        <w:rPr>
          <w:rFonts w:ascii="Bookman Old Style" w:hAnsi="Bookman Old Style" w:cs="Arial"/>
          <w:sz w:val="28"/>
          <w:szCs w:val="28"/>
          <w:lang w:val="el-GR"/>
        </w:rPr>
      </w:pPr>
    </w:p>
    <w:p w14:paraId="091923C1" w14:textId="238B0192" w:rsidR="00E71296" w:rsidRDefault="00E71296" w:rsidP="008E4CC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Προτού γίνει αναφορά στους λόγους επί των οποίων βασίζεται το αίτημα και εξειδικεύονται στην </w:t>
      </w:r>
      <w:r w:rsidR="00D91562">
        <w:rPr>
          <w:rFonts w:ascii="Bookman Old Style" w:hAnsi="Bookman Old Style" w:cs="Arial"/>
          <w:sz w:val="28"/>
          <w:szCs w:val="28"/>
          <w:lang w:val="el-GR"/>
        </w:rPr>
        <w:t>Έκ</w:t>
      </w:r>
      <w:r>
        <w:rPr>
          <w:rFonts w:ascii="Bookman Old Style" w:hAnsi="Bookman Old Style" w:cs="Arial"/>
          <w:sz w:val="28"/>
          <w:szCs w:val="28"/>
          <w:lang w:val="el-GR"/>
        </w:rPr>
        <w:t xml:space="preserve">θεση, κρίνεται σκόπιμη η αναφορά στα γεγονότα επί των οποίων στηρίχθηκε η αίτηση της Αστυνομίας για την έκδοση του υπό κρίση </w:t>
      </w:r>
      <w:r w:rsidR="00D91562">
        <w:rPr>
          <w:rFonts w:ascii="Bookman Old Style" w:hAnsi="Bookman Old Style" w:cs="Arial"/>
          <w:sz w:val="28"/>
          <w:szCs w:val="28"/>
          <w:lang w:val="el-GR"/>
        </w:rPr>
        <w:t xml:space="preserve">Εντάλματος Έρευνας </w:t>
      </w:r>
      <w:r>
        <w:rPr>
          <w:rFonts w:ascii="Bookman Old Style" w:hAnsi="Bookman Old Style" w:cs="Arial"/>
          <w:sz w:val="28"/>
          <w:szCs w:val="28"/>
          <w:lang w:val="el-GR"/>
        </w:rPr>
        <w:t>και με βάση τα οποία κρίθηκε</w:t>
      </w:r>
      <w:r w:rsidR="00CF67DC">
        <w:rPr>
          <w:rFonts w:ascii="Bookman Old Style" w:hAnsi="Bookman Old Style" w:cs="Arial"/>
          <w:sz w:val="28"/>
          <w:szCs w:val="28"/>
          <w:lang w:val="el-GR"/>
        </w:rPr>
        <w:t>,</w:t>
      </w:r>
      <w:r>
        <w:rPr>
          <w:rFonts w:ascii="Bookman Old Style" w:hAnsi="Bookman Old Style" w:cs="Arial"/>
          <w:sz w:val="28"/>
          <w:szCs w:val="28"/>
          <w:lang w:val="el-GR"/>
        </w:rPr>
        <w:t xml:space="preserve"> από το Κατώτερο Δικαστήριο</w:t>
      </w:r>
      <w:r w:rsidR="00CF67DC">
        <w:rPr>
          <w:rFonts w:ascii="Bookman Old Style" w:hAnsi="Bookman Old Style" w:cs="Arial"/>
          <w:sz w:val="28"/>
          <w:szCs w:val="28"/>
          <w:lang w:val="el-GR"/>
        </w:rPr>
        <w:t>,</w:t>
      </w:r>
      <w:r>
        <w:rPr>
          <w:rFonts w:ascii="Bookman Old Style" w:hAnsi="Bookman Old Style" w:cs="Arial"/>
          <w:sz w:val="28"/>
          <w:szCs w:val="28"/>
          <w:lang w:val="el-GR"/>
        </w:rPr>
        <w:t xml:space="preserve"> δικαιολογημένη και αναγκαία η έκδοση του, </w:t>
      </w:r>
      <w:r w:rsidR="00D91562">
        <w:rPr>
          <w:rFonts w:ascii="Bookman Old Style" w:hAnsi="Bookman Old Style" w:cs="Arial"/>
          <w:sz w:val="28"/>
          <w:szCs w:val="28"/>
          <w:lang w:val="el-GR"/>
        </w:rPr>
        <w:t>όπως αυτά</w:t>
      </w:r>
      <w:r>
        <w:rPr>
          <w:rFonts w:ascii="Bookman Old Style" w:hAnsi="Bookman Old Style" w:cs="Arial"/>
          <w:sz w:val="28"/>
          <w:szCs w:val="28"/>
          <w:lang w:val="el-GR"/>
        </w:rPr>
        <w:t xml:space="preserve"> </w:t>
      </w:r>
      <w:r w:rsidR="00D91562">
        <w:rPr>
          <w:rFonts w:ascii="Bookman Old Style" w:hAnsi="Bookman Old Style" w:cs="Arial"/>
          <w:sz w:val="28"/>
          <w:szCs w:val="28"/>
          <w:lang w:val="el-GR"/>
        </w:rPr>
        <w:t>καταγράφονται</w:t>
      </w:r>
      <w:r>
        <w:rPr>
          <w:rFonts w:ascii="Bookman Old Style" w:hAnsi="Bookman Old Style" w:cs="Arial"/>
          <w:sz w:val="28"/>
          <w:szCs w:val="28"/>
          <w:lang w:val="el-GR"/>
        </w:rPr>
        <w:t xml:space="preserve"> σ</w:t>
      </w:r>
      <w:r w:rsidR="00D91562">
        <w:rPr>
          <w:rFonts w:ascii="Bookman Old Style" w:hAnsi="Bookman Old Style" w:cs="Arial"/>
          <w:sz w:val="28"/>
          <w:szCs w:val="28"/>
          <w:lang w:val="el-GR"/>
        </w:rPr>
        <w:t>την</w:t>
      </w:r>
      <w:r>
        <w:rPr>
          <w:rFonts w:ascii="Bookman Old Style" w:hAnsi="Bookman Old Style" w:cs="Arial"/>
          <w:sz w:val="28"/>
          <w:szCs w:val="28"/>
          <w:lang w:val="el-GR"/>
        </w:rPr>
        <w:t xml:space="preserve"> </w:t>
      </w:r>
      <w:r w:rsidR="00CF67DC">
        <w:rPr>
          <w:rFonts w:ascii="Bookman Old Style" w:hAnsi="Bookman Old Style" w:cs="Arial"/>
          <w:sz w:val="28"/>
          <w:szCs w:val="28"/>
          <w:lang w:val="el-GR"/>
        </w:rPr>
        <w:t xml:space="preserve">Ένορκη Δήλωση </w:t>
      </w:r>
      <w:r>
        <w:rPr>
          <w:rFonts w:ascii="Bookman Old Style" w:hAnsi="Bookman Old Style" w:cs="Arial"/>
          <w:sz w:val="28"/>
          <w:szCs w:val="28"/>
          <w:lang w:val="el-GR"/>
        </w:rPr>
        <w:t xml:space="preserve">του </w:t>
      </w:r>
      <w:bookmarkStart w:id="1" w:name="_Hlk139814694"/>
      <w:r>
        <w:rPr>
          <w:rFonts w:ascii="Bookman Old Style" w:hAnsi="Bookman Old Style" w:cs="Arial"/>
          <w:sz w:val="28"/>
          <w:szCs w:val="28"/>
          <w:lang w:val="el-GR"/>
        </w:rPr>
        <w:t>Λοχία 2421,</w:t>
      </w:r>
      <w:r w:rsidR="00412E1D">
        <w:rPr>
          <w:rFonts w:ascii="Bookman Old Style" w:hAnsi="Bookman Old Style" w:cs="Arial"/>
          <w:sz w:val="28"/>
          <w:szCs w:val="28"/>
          <w:lang w:val="el-GR"/>
        </w:rPr>
        <w:t xml:space="preserve"> Ο. Εφραίμ</w:t>
      </w:r>
      <w:bookmarkEnd w:id="1"/>
      <w:r>
        <w:rPr>
          <w:rFonts w:ascii="Bookman Old Style" w:hAnsi="Bookman Old Style" w:cs="Arial"/>
          <w:sz w:val="28"/>
          <w:szCs w:val="28"/>
          <w:lang w:val="el-GR"/>
        </w:rPr>
        <w:t xml:space="preserve">. </w:t>
      </w:r>
    </w:p>
    <w:p w14:paraId="0CCB1493" w14:textId="77777777" w:rsidR="00CF67DC" w:rsidRDefault="00CF67DC" w:rsidP="008E4CC4">
      <w:pPr>
        <w:spacing w:line="480" w:lineRule="auto"/>
        <w:ind w:right="-35"/>
        <w:jc w:val="both"/>
        <w:rPr>
          <w:rFonts w:ascii="Bookman Old Style" w:hAnsi="Bookman Old Style" w:cs="Arial"/>
          <w:sz w:val="28"/>
          <w:szCs w:val="28"/>
          <w:lang w:val="el-GR"/>
        </w:rPr>
      </w:pPr>
    </w:p>
    <w:p w14:paraId="5DD6A80F" w14:textId="0575A1C1" w:rsidR="002D0936" w:rsidRDefault="002D0936" w:rsidP="008E4CC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Αυτά συνοψίζονται ως ακολούθως:</w:t>
      </w:r>
    </w:p>
    <w:p w14:paraId="1F759972" w14:textId="77777777" w:rsidR="00F2219C" w:rsidRDefault="00F2219C" w:rsidP="008E4CC4">
      <w:pPr>
        <w:spacing w:line="480" w:lineRule="auto"/>
        <w:ind w:right="-35"/>
        <w:jc w:val="both"/>
        <w:rPr>
          <w:rFonts w:ascii="Bookman Old Style" w:hAnsi="Bookman Old Style" w:cs="Arial"/>
          <w:sz w:val="28"/>
          <w:szCs w:val="28"/>
          <w:lang w:val="el-GR"/>
        </w:rPr>
      </w:pPr>
    </w:p>
    <w:p w14:paraId="6077B420" w14:textId="1635F56F" w:rsidR="002D0936" w:rsidRDefault="002D0936" w:rsidP="008E4CC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12/5/2023 μέλος του Κλάδου Καταπολέμησης Αδικημάτων Κλοπής Πνευματικής Ιδιοκτησίας και Παράνομων Στοιχημάτων, κατά τη διάρκεια ελέγχου στην επαρχία Λάρνακας για εντοπισμό καταστημάτων που πωλούν προϊόντα που </w:t>
      </w:r>
      <w:r w:rsidR="002B585F">
        <w:rPr>
          <w:rFonts w:ascii="Bookman Old Style" w:hAnsi="Bookman Old Style" w:cs="Arial"/>
          <w:sz w:val="28"/>
          <w:szCs w:val="28"/>
          <w:lang w:val="el-GR"/>
        </w:rPr>
        <w:t>περιέχουν</w:t>
      </w:r>
      <w:r>
        <w:rPr>
          <w:rFonts w:ascii="Bookman Old Style" w:hAnsi="Bookman Old Style" w:cs="Arial"/>
          <w:sz w:val="28"/>
          <w:szCs w:val="28"/>
          <w:lang w:val="el-GR"/>
        </w:rPr>
        <w:t xml:space="preserve"> τη φαρμακευτική ουσία </w:t>
      </w:r>
      <w:bookmarkStart w:id="2" w:name="_Hlk139540923"/>
      <w:r>
        <w:rPr>
          <w:rFonts w:ascii="Bookman Old Style" w:hAnsi="Bookman Old Style" w:cs="Arial"/>
          <w:sz w:val="28"/>
          <w:szCs w:val="28"/>
          <w:lang w:val="el-GR"/>
        </w:rPr>
        <w:t>κανναβιδιόλη</w:t>
      </w:r>
      <w:bookmarkEnd w:id="2"/>
      <w:r>
        <w:rPr>
          <w:rFonts w:ascii="Bookman Old Style" w:hAnsi="Bookman Old Style" w:cs="Arial"/>
          <w:sz w:val="28"/>
          <w:szCs w:val="28"/>
          <w:lang w:val="el-GR"/>
        </w:rPr>
        <w:t xml:space="preserve"> (</w:t>
      </w:r>
      <w:r>
        <w:rPr>
          <w:rFonts w:ascii="Bookman Old Style" w:hAnsi="Bookman Old Style" w:cs="Arial"/>
          <w:sz w:val="28"/>
          <w:szCs w:val="28"/>
          <w:lang w:val="en-US"/>
        </w:rPr>
        <w:t>CBD</w:t>
      </w:r>
      <w:r w:rsidRPr="002D0936">
        <w:rPr>
          <w:rFonts w:ascii="Bookman Old Style" w:hAnsi="Bookman Old Style" w:cs="Arial"/>
          <w:sz w:val="28"/>
          <w:szCs w:val="28"/>
          <w:lang w:val="el-GR"/>
        </w:rPr>
        <w:t>)</w:t>
      </w:r>
      <w:r>
        <w:rPr>
          <w:rFonts w:ascii="Bookman Old Style" w:hAnsi="Bookman Old Style" w:cs="Arial"/>
          <w:sz w:val="28"/>
          <w:szCs w:val="28"/>
          <w:lang w:val="el-GR"/>
        </w:rPr>
        <w:t xml:space="preserve">, εντόπισε το κατάστημα με την επωνυμία </w:t>
      </w:r>
      <w:r w:rsidRPr="002D0936">
        <w:rPr>
          <w:rFonts w:ascii="Bookman Old Style" w:hAnsi="Bookman Old Style" w:cs="Arial"/>
          <w:sz w:val="28"/>
          <w:szCs w:val="28"/>
          <w:lang w:val="el-GR"/>
        </w:rPr>
        <w:t>«</w:t>
      </w:r>
      <w:r>
        <w:rPr>
          <w:rFonts w:ascii="Bookman Old Style" w:hAnsi="Bookman Old Style" w:cs="Arial"/>
          <w:i/>
          <w:iCs/>
          <w:sz w:val="28"/>
          <w:szCs w:val="28"/>
          <w:lang w:val="en-US"/>
        </w:rPr>
        <w:t>CBD</w:t>
      </w:r>
      <w:r w:rsidRPr="002D0936">
        <w:rPr>
          <w:rFonts w:ascii="Bookman Old Style" w:hAnsi="Bookman Old Style" w:cs="Arial"/>
          <w:i/>
          <w:iCs/>
          <w:sz w:val="28"/>
          <w:szCs w:val="28"/>
          <w:lang w:val="el-GR"/>
        </w:rPr>
        <w:t xml:space="preserve"> </w:t>
      </w:r>
      <w:r>
        <w:rPr>
          <w:rFonts w:ascii="Bookman Old Style" w:hAnsi="Bookman Old Style" w:cs="Arial"/>
          <w:i/>
          <w:iCs/>
          <w:sz w:val="28"/>
          <w:szCs w:val="28"/>
          <w:lang w:val="en-US"/>
        </w:rPr>
        <w:t>OIL</w:t>
      </w:r>
      <w:r w:rsidRPr="002D0936">
        <w:rPr>
          <w:rFonts w:ascii="Bookman Old Style" w:hAnsi="Bookman Old Style" w:cs="Arial"/>
          <w:i/>
          <w:iCs/>
          <w:sz w:val="28"/>
          <w:szCs w:val="28"/>
          <w:lang w:val="el-GR"/>
        </w:rPr>
        <w:t xml:space="preserve"> </w:t>
      </w:r>
      <w:r>
        <w:rPr>
          <w:rFonts w:ascii="Bookman Old Style" w:hAnsi="Bookman Old Style" w:cs="Arial"/>
          <w:i/>
          <w:iCs/>
          <w:sz w:val="28"/>
          <w:szCs w:val="28"/>
          <w:lang w:val="en-US"/>
        </w:rPr>
        <w:t>SHOP</w:t>
      </w:r>
      <w:r>
        <w:rPr>
          <w:rFonts w:ascii="Bookman Old Style" w:hAnsi="Bookman Old Style" w:cs="Arial"/>
          <w:sz w:val="28"/>
          <w:szCs w:val="28"/>
          <w:lang w:val="el-GR"/>
        </w:rPr>
        <w:t xml:space="preserve">», που βρίσκεται στην οδό </w:t>
      </w:r>
      <w:r w:rsidR="0078607F" w:rsidRPr="0078607F">
        <w:rPr>
          <w:rFonts w:ascii="Bookman Old Style" w:hAnsi="Bookman Old Style" w:cs="Arial"/>
          <w:sz w:val="28"/>
          <w:szCs w:val="28"/>
          <w:lang w:val="el-GR"/>
        </w:rPr>
        <w:t>[ ]</w:t>
      </w:r>
      <w:r>
        <w:rPr>
          <w:rFonts w:ascii="Bookman Old Style" w:hAnsi="Bookman Old Style" w:cs="Arial"/>
          <w:sz w:val="28"/>
          <w:szCs w:val="28"/>
          <w:lang w:val="el-GR"/>
        </w:rPr>
        <w:t>.</w:t>
      </w:r>
    </w:p>
    <w:p w14:paraId="21AF5AA1" w14:textId="77777777" w:rsidR="002D0936" w:rsidRDefault="002D0936" w:rsidP="008E4CC4">
      <w:pPr>
        <w:spacing w:line="480" w:lineRule="auto"/>
        <w:ind w:right="-35"/>
        <w:jc w:val="both"/>
        <w:rPr>
          <w:rFonts w:ascii="Bookman Old Style" w:hAnsi="Bookman Old Style" w:cs="Arial"/>
          <w:sz w:val="28"/>
          <w:szCs w:val="28"/>
          <w:lang w:val="el-GR"/>
        </w:rPr>
      </w:pPr>
    </w:p>
    <w:p w14:paraId="6FBE0774" w14:textId="47F9B572" w:rsidR="005B78B2" w:rsidRDefault="002D0936" w:rsidP="008E4CC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Μετά από εξετάσεις που διενεργήθηκαν στο πιο πάνω κατάστημα, διαπιστώθηκε ότι αυτό ήταν ανοικτό και ότι εντός αυτού υπήρχαν προς πώληση προϊόντα στα οποία αναγραφόταν η ένδειξη </w:t>
      </w:r>
      <w:r>
        <w:rPr>
          <w:rFonts w:ascii="Bookman Old Style" w:hAnsi="Bookman Old Style" w:cs="Arial"/>
          <w:sz w:val="28"/>
          <w:szCs w:val="28"/>
          <w:lang w:val="en-US"/>
        </w:rPr>
        <w:t>CBD</w:t>
      </w:r>
      <w:r>
        <w:rPr>
          <w:rFonts w:ascii="Bookman Old Style" w:hAnsi="Bookman Old Style" w:cs="Arial"/>
          <w:sz w:val="28"/>
          <w:szCs w:val="28"/>
          <w:lang w:val="el-GR"/>
        </w:rPr>
        <w:t xml:space="preserve">. Την ίδια ημέρα διενεργήθηκαν διαδικτυακές εξετάσεις, όπου διαπιστώθηκε ότι η </w:t>
      </w:r>
      <w:r w:rsidRPr="00CF67DC">
        <w:rPr>
          <w:rFonts w:ascii="Bookman Old Style" w:hAnsi="Bookman Old Style" w:cs="Arial"/>
          <w:sz w:val="28"/>
          <w:szCs w:val="28"/>
          <w:lang w:val="el-GR"/>
        </w:rPr>
        <w:t xml:space="preserve">ιστοσελίδα </w:t>
      </w:r>
      <w:hyperlink r:id="rId8" w:history="1">
        <w:r w:rsidR="00CF67DC" w:rsidRPr="00CF67DC">
          <w:rPr>
            <w:rFonts w:ascii="Bookman Old Style" w:hAnsi="Bookman Old Style"/>
            <w:i/>
            <w:iCs/>
            <w:sz w:val="28"/>
            <w:szCs w:val="28"/>
            <w:lang w:val="el-GR"/>
          </w:rPr>
          <w:t>https://www.cbdoilshop.com.cy/product-page</w:t>
        </w:r>
      </w:hyperlink>
      <w:r w:rsidR="00153CBA" w:rsidRPr="00153CBA">
        <w:rPr>
          <w:rFonts w:ascii="Bookman Old Style" w:hAnsi="Bookman Old Style" w:cs="Arial"/>
          <w:sz w:val="28"/>
          <w:szCs w:val="28"/>
          <w:lang w:val="el-GR"/>
        </w:rPr>
        <w:t>,</w:t>
      </w:r>
      <w:r w:rsidR="00CF67DC" w:rsidRPr="00CF67DC">
        <w:rPr>
          <w:rFonts w:ascii="Bookman Old Style" w:hAnsi="Bookman Old Style" w:cs="Arial"/>
          <w:sz w:val="28"/>
          <w:szCs w:val="28"/>
          <w:lang w:val="el-GR"/>
        </w:rPr>
        <w:t xml:space="preserve"> </w:t>
      </w:r>
      <w:r>
        <w:rPr>
          <w:rFonts w:ascii="Bookman Old Style" w:hAnsi="Bookman Old Style" w:cs="Arial"/>
          <w:sz w:val="28"/>
          <w:szCs w:val="28"/>
          <w:lang w:val="el-GR"/>
        </w:rPr>
        <w:t>η</w:t>
      </w:r>
      <w:r w:rsidRPr="00CF67DC">
        <w:rPr>
          <w:rFonts w:ascii="Bookman Old Style" w:hAnsi="Bookman Old Style" w:cs="Arial"/>
          <w:b/>
          <w:bCs/>
          <w:sz w:val="28"/>
          <w:szCs w:val="28"/>
          <w:lang w:val="el-GR"/>
        </w:rPr>
        <w:t xml:space="preserve"> </w:t>
      </w:r>
      <w:r>
        <w:rPr>
          <w:rFonts w:ascii="Bookman Old Style" w:hAnsi="Bookman Old Style" w:cs="Arial"/>
          <w:sz w:val="28"/>
          <w:szCs w:val="28"/>
          <w:lang w:val="el-GR"/>
        </w:rPr>
        <w:t>οποία ανήκει στο πιο πάνω κατάστημα</w:t>
      </w:r>
      <w:r w:rsidR="00153CBA" w:rsidRPr="00153CBA">
        <w:rPr>
          <w:rFonts w:ascii="Bookman Old Style" w:hAnsi="Bookman Old Style" w:cs="Arial"/>
          <w:sz w:val="28"/>
          <w:szCs w:val="28"/>
          <w:lang w:val="el-GR"/>
        </w:rPr>
        <w:t>,</w:t>
      </w:r>
      <w:r>
        <w:rPr>
          <w:rFonts w:ascii="Bookman Old Style" w:hAnsi="Bookman Old Style" w:cs="Arial"/>
          <w:sz w:val="28"/>
          <w:szCs w:val="28"/>
          <w:lang w:val="el-GR"/>
        </w:rPr>
        <w:t xml:space="preserve"> διαφημίζει ότι διαθέτει προς πώληση προϊόντα που περιέχουν τις ουσίες </w:t>
      </w:r>
      <w:r>
        <w:rPr>
          <w:rFonts w:ascii="Bookman Old Style" w:hAnsi="Bookman Old Style" w:cs="Arial"/>
          <w:sz w:val="28"/>
          <w:szCs w:val="28"/>
          <w:lang w:val="en-US"/>
        </w:rPr>
        <w:t>CBD</w:t>
      </w:r>
      <w:r w:rsidR="002B585F">
        <w:rPr>
          <w:rFonts w:ascii="Bookman Old Style" w:hAnsi="Bookman Old Style" w:cs="Arial"/>
          <w:sz w:val="28"/>
          <w:szCs w:val="28"/>
          <w:lang w:val="el-GR"/>
        </w:rPr>
        <w:t xml:space="preserve"> και</w:t>
      </w:r>
      <w:r w:rsidRPr="002D0936">
        <w:rPr>
          <w:rFonts w:ascii="Bookman Old Style" w:hAnsi="Bookman Old Style" w:cs="Arial"/>
          <w:sz w:val="28"/>
          <w:szCs w:val="28"/>
          <w:lang w:val="el-GR"/>
        </w:rPr>
        <w:t xml:space="preserve"> </w:t>
      </w:r>
      <w:r w:rsidR="005B78B2">
        <w:rPr>
          <w:rFonts w:ascii="Bookman Old Style" w:hAnsi="Bookman Old Style" w:cs="Arial"/>
          <w:sz w:val="28"/>
          <w:szCs w:val="28"/>
          <w:lang w:val="en-US"/>
        </w:rPr>
        <w:t>THC</w:t>
      </w:r>
      <w:r w:rsidR="005B78B2">
        <w:rPr>
          <w:rFonts w:ascii="Bookman Old Style" w:hAnsi="Bookman Old Style" w:cs="Arial"/>
          <w:sz w:val="28"/>
          <w:szCs w:val="28"/>
          <w:lang w:val="el-GR"/>
        </w:rPr>
        <w:t xml:space="preserve">. </w:t>
      </w:r>
    </w:p>
    <w:p w14:paraId="382DB95E" w14:textId="77777777" w:rsidR="005B78B2" w:rsidRDefault="005B78B2" w:rsidP="008E4CC4">
      <w:pPr>
        <w:spacing w:line="480" w:lineRule="auto"/>
        <w:ind w:right="-35"/>
        <w:jc w:val="both"/>
        <w:rPr>
          <w:rFonts w:ascii="Bookman Old Style" w:hAnsi="Bookman Old Style" w:cs="Arial"/>
          <w:sz w:val="28"/>
          <w:szCs w:val="28"/>
          <w:lang w:val="el-GR"/>
        </w:rPr>
      </w:pPr>
    </w:p>
    <w:p w14:paraId="22AC0674" w14:textId="655D200B" w:rsidR="005B78B2" w:rsidRDefault="005B78B2" w:rsidP="008E4CC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Κατόπιν επικοινωνίας από μέλος του Κλάδου Καταπολέμησης Αδικημάτων Κλοπής Πνευματικής Ιδιοκτησίας και Παράνομων Στοιχημάτων</w:t>
      </w:r>
      <w:r w:rsidR="002D0936">
        <w:rPr>
          <w:rFonts w:ascii="Bookman Old Style" w:hAnsi="Bookman Old Style" w:cs="Arial"/>
          <w:sz w:val="28"/>
          <w:szCs w:val="28"/>
          <w:lang w:val="el-GR"/>
        </w:rPr>
        <w:t xml:space="preserve"> </w:t>
      </w:r>
      <w:r>
        <w:rPr>
          <w:rFonts w:ascii="Bookman Old Style" w:hAnsi="Bookman Old Style" w:cs="Arial"/>
          <w:sz w:val="28"/>
          <w:szCs w:val="28"/>
          <w:lang w:val="el-GR"/>
        </w:rPr>
        <w:t xml:space="preserve">που έγινε την ίδια ημέρα με Λειτουργό των Φαρμακευτικών Υπηρεσιών, το μέλος αυτό πληροφορήθηκε ότι η ένδειξη </w:t>
      </w:r>
      <w:r>
        <w:rPr>
          <w:rFonts w:ascii="Bookman Old Style" w:hAnsi="Bookman Old Style" w:cs="Arial"/>
          <w:sz w:val="28"/>
          <w:szCs w:val="28"/>
          <w:lang w:val="en-US"/>
        </w:rPr>
        <w:t>CBD</w:t>
      </w:r>
      <w:r>
        <w:rPr>
          <w:rFonts w:ascii="Bookman Old Style" w:hAnsi="Bookman Old Style" w:cs="Arial"/>
          <w:sz w:val="28"/>
          <w:szCs w:val="28"/>
          <w:lang w:val="el-GR"/>
        </w:rPr>
        <w:t xml:space="preserve"> παραπέμπει στην ουσία κανναβιδιόλη, η οποία, σύμφωνα με απόφαση του Συμβουλίου Φαρμάκων</w:t>
      </w:r>
      <w:r w:rsidR="00153CBA" w:rsidRPr="00153CBA">
        <w:rPr>
          <w:rFonts w:ascii="Bookman Old Style" w:hAnsi="Bookman Old Style" w:cs="Arial"/>
          <w:sz w:val="28"/>
          <w:szCs w:val="28"/>
          <w:lang w:val="el-GR"/>
        </w:rPr>
        <w:t>,</w:t>
      </w:r>
      <w:r>
        <w:rPr>
          <w:rFonts w:ascii="Bookman Old Style" w:hAnsi="Bookman Old Style" w:cs="Arial"/>
          <w:sz w:val="28"/>
          <w:szCs w:val="28"/>
          <w:lang w:val="el-GR"/>
        </w:rPr>
        <w:t xml:space="preserve"> θεωρείται φαρμακευτική ουσία και απαιτείται άδεια κυκλοφορίας σκευασμάτων που περιέχουν τέτοια ουσία. Επίσης πληροφορήθηκε ότι το πιο πάνω κατάστημα δεν έχει άδεια διεξαγωγής επιχείρησης φαρμακοποιού. Πληροφορήθηκε</w:t>
      </w:r>
      <w:r w:rsidR="00153CBA" w:rsidRPr="00153CBA">
        <w:rPr>
          <w:rFonts w:ascii="Bookman Old Style" w:hAnsi="Bookman Old Style" w:cs="Arial"/>
          <w:sz w:val="28"/>
          <w:szCs w:val="28"/>
          <w:lang w:val="el-GR"/>
        </w:rPr>
        <w:t>,</w:t>
      </w:r>
      <w:r>
        <w:rPr>
          <w:rFonts w:ascii="Bookman Old Style" w:hAnsi="Bookman Old Style" w:cs="Arial"/>
          <w:sz w:val="28"/>
          <w:szCs w:val="28"/>
          <w:lang w:val="el-GR"/>
        </w:rPr>
        <w:t xml:space="preserve"> επίσης</w:t>
      </w:r>
      <w:r w:rsidR="00153CBA" w:rsidRPr="00153CBA">
        <w:rPr>
          <w:rFonts w:ascii="Bookman Old Style" w:hAnsi="Bookman Old Style" w:cs="Arial"/>
          <w:sz w:val="28"/>
          <w:szCs w:val="28"/>
          <w:lang w:val="el-GR"/>
        </w:rPr>
        <w:t>,</w:t>
      </w:r>
      <w:r>
        <w:rPr>
          <w:rFonts w:ascii="Bookman Old Style" w:hAnsi="Bookman Old Style" w:cs="Arial"/>
          <w:sz w:val="28"/>
          <w:szCs w:val="28"/>
          <w:lang w:val="el-GR"/>
        </w:rPr>
        <w:t xml:space="preserve"> ότι η ουσία τετραϋδρονναβινόλη (</w:t>
      </w:r>
      <w:r>
        <w:rPr>
          <w:rFonts w:ascii="Bookman Old Style" w:hAnsi="Bookman Old Style" w:cs="Arial"/>
          <w:sz w:val="28"/>
          <w:szCs w:val="28"/>
          <w:lang w:val="en-US"/>
        </w:rPr>
        <w:t>THC</w:t>
      </w:r>
      <w:r>
        <w:rPr>
          <w:rFonts w:ascii="Bookman Old Style" w:hAnsi="Bookman Old Style" w:cs="Arial"/>
          <w:sz w:val="28"/>
          <w:szCs w:val="28"/>
          <w:lang w:val="el-GR"/>
        </w:rPr>
        <w:t xml:space="preserve">) κατατάσσεται ως ελεγχόμενο φάρμακο σύμφωνα με τον </w:t>
      </w:r>
      <w:r w:rsidRPr="00153CBA">
        <w:rPr>
          <w:rFonts w:ascii="Bookman Old Style" w:hAnsi="Bookman Old Style" w:cs="Arial"/>
          <w:b/>
          <w:bCs/>
          <w:sz w:val="28"/>
          <w:szCs w:val="28"/>
          <w:lang w:val="el-GR"/>
        </w:rPr>
        <w:t>περί Ναρκωτικών Φαρμάκων και Ψυχοτρόπων Ουσιών Νόμο (Ν. 29/1977)</w:t>
      </w:r>
      <w:r>
        <w:rPr>
          <w:rFonts w:ascii="Bookman Old Style" w:hAnsi="Bookman Old Style" w:cs="Arial"/>
          <w:sz w:val="28"/>
          <w:szCs w:val="28"/>
          <w:lang w:val="el-GR"/>
        </w:rPr>
        <w:t xml:space="preserve">. </w:t>
      </w:r>
    </w:p>
    <w:p w14:paraId="5D0FE6B9" w14:textId="77777777" w:rsidR="009024B1" w:rsidRDefault="009024B1" w:rsidP="008E4CC4">
      <w:pPr>
        <w:spacing w:line="480" w:lineRule="auto"/>
        <w:ind w:right="-35"/>
        <w:jc w:val="both"/>
        <w:rPr>
          <w:rFonts w:ascii="Bookman Old Style" w:hAnsi="Bookman Old Style" w:cs="Arial"/>
          <w:sz w:val="28"/>
          <w:szCs w:val="28"/>
          <w:lang w:val="el-GR"/>
        </w:rPr>
      </w:pPr>
    </w:p>
    <w:p w14:paraId="1C09DB19" w14:textId="64E25F9B" w:rsidR="009024B1" w:rsidRDefault="009024B1" w:rsidP="008E4CC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Με βάση τα πιο πάνω</w:t>
      </w:r>
      <w:r w:rsidR="00153CBA" w:rsidRPr="00153CBA">
        <w:rPr>
          <w:rFonts w:ascii="Bookman Old Style" w:hAnsi="Bookman Old Style" w:cs="Arial"/>
          <w:sz w:val="28"/>
          <w:szCs w:val="28"/>
          <w:lang w:val="el-GR"/>
        </w:rPr>
        <w:t>,</w:t>
      </w:r>
      <w:r>
        <w:rPr>
          <w:rFonts w:ascii="Bookman Old Style" w:hAnsi="Bookman Old Style" w:cs="Arial"/>
          <w:sz w:val="28"/>
          <w:szCs w:val="28"/>
          <w:lang w:val="el-GR"/>
        </w:rPr>
        <w:t xml:space="preserve"> το Κατώτερο Δικαστήριο ικανοποίησε το αίτημα της Αστυνομίας προς έκδοση </w:t>
      </w:r>
      <w:r w:rsidR="00587283">
        <w:rPr>
          <w:rFonts w:ascii="Bookman Old Style" w:hAnsi="Bookman Old Style" w:cs="Arial"/>
          <w:sz w:val="28"/>
          <w:szCs w:val="28"/>
          <w:lang w:val="el-GR"/>
        </w:rPr>
        <w:t xml:space="preserve">Εντάλματος Έρευνας </w:t>
      </w:r>
      <w:r>
        <w:rPr>
          <w:rFonts w:ascii="Bookman Old Style" w:hAnsi="Bookman Old Style" w:cs="Arial"/>
          <w:sz w:val="28"/>
          <w:szCs w:val="28"/>
          <w:lang w:val="el-GR"/>
        </w:rPr>
        <w:t>του καταστήματος με την επωνυμία «</w:t>
      </w:r>
      <w:r>
        <w:rPr>
          <w:rFonts w:ascii="Bookman Old Style" w:hAnsi="Bookman Old Style" w:cs="Arial"/>
          <w:i/>
          <w:iCs/>
          <w:sz w:val="28"/>
          <w:szCs w:val="28"/>
          <w:lang w:val="en-US"/>
        </w:rPr>
        <w:t>CBD</w:t>
      </w:r>
      <w:r w:rsidRPr="009024B1">
        <w:rPr>
          <w:rFonts w:ascii="Bookman Old Style" w:hAnsi="Bookman Old Style" w:cs="Arial"/>
          <w:i/>
          <w:iCs/>
          <w:sz w:val="28"/>
          <w:szCs w:val="28"/>
          <w:lang w:val="el-GR"/>
        </w:rPr>
        <w:t xml:space="preserve"> </w:t>
      </w:r>
      <w:r>
        <w:rPr>
          <w:rFonts w:ascii="Bookman Old Style" w:hAnsi="Bookman Old Style" w:cs="Arial"/>
          <w:i/>
          <w:iCs/>
          <w:sz w:val="28"/>
          <w:szCs w:val="28"/>
          <w:lang w:val="en-US"/>
        </w:rPr>
        <w:t>OIL</w:t>
      </w:r>
      <w:r w:rsidRPr="009024B1">
        <w:rPr>
          <w:rFonts w:ascii="Bookman Old Style" w:hAnsi="Bookman Old Style" w:cs="Arial"/>
          <w:i/>
          <w:iCs/>
          <w:sz w:val="28"/>
          <w:szCs w:val="28"/>
          <w:lang w:val="el-GR"/>
        </w:rPr>
        <w:t xml:space="preserve"> </w:t>
      </w:r>
      <w:r>
        <w:rPr>
          <w:rFonts w:ascii="Bookman Old Style" w:hAnsi="Bookman Old Style" w:cs="Arial"/>
          <w:i/>
          <w:iCs/>
          <w:sz w:val="28"/>
          <w:szCs w:val="28"/>
          <w:lang w:val="en-US"/>
        </w:rPr>
        <w:t>SHOP</w:t>
      </w:r>
      <w:r>
        <w:rPr>
          <w:rFonts w:ascii="Bookman Old Style" w:hAnsi="Bookman Old Style" w:cs="Arial"/>
          <w:sz w:val="28"/>
          <w:szCs w:val="28"/>
          <w:lang w:val="el-GR"/>
        </w:rPr>
        <w:t xml:space="preserve">», που βρίσκεται στην οδό </w:t>
      </w:r>
      <w:r w:rsidR="0078607F" w:rsidRPr="0078607F">
        <w:rPr>
          <w:rFonts w:ascii="Bookman Old Style" w:hAnsi="Bookman Old Style" w:cs="Arial"/>
          <w:sz w:val="28"/>
          <w:szCs w:val="28"/>
          <w:lang w:val="el-GR"/>
        </w:rPr>
        <w:t>[ ]</w:t>
      </w:r>
      <w:r>
        <w:rPr>
          <w:rFonts w:ascii="Bookman Old Style" w:hAnsi="Bookman Old Style" w:cs="Arial"/>
          <w:sz w:val="28"/>
          <w:szCs w:val="28"/>
          <w:lang w:val="el-GR"/>
        </w:rPr>
        <w:t>, Ορόκλινη</w:t>
      </w:r>
      <w:r w:rsidR="00964125">
        <w:rPr>
          <w:rFonts w:ascii="Bookman Old Style" w:hAnsi="Bookman Old Style" w:cs="Arial"/>
          <w:sz w:val="28"/>
          <w:szCs w:val="28"/>
          <w:lang w:val="el-GR"/>
        </w:rPr>
        <w:t>, προς αναζήτηση, εντοπισμό και κατάσχεση φαρμακευτικών προϊόντων για τα οποία δεν εκδόθηκε άδεια κυκλοφορίας και ελεγχόμενων φαρμάκων, ως επίσης άλλων τεκμηρίων που σχετίζονται με την υπόθεση, όπως τιμολόγια, έντυπα παραγγελιών, σημειώσεις κλπ.</w:t>
      </w:r>
    </w:p>
    <w:p w14:paraId="45D52C76" w14:textId="77777777" w:rsidR="00964125" w:rsidRDefault="00964125" w:rsidP="008E4CC4">
      <w:pPr>
        <w:spacing w:line="480" w:lineRule="auto"/>
        <w:ind w:right="-35"/>
        <w:jc w:val="both"/>
        <w:rPr>
          <w:rFonts w:ascii="Bookman Old Style" w:hAnsi="Bookman Old Style" w:cs="Arial"/>
          <w:sz w:val="28"/>
          <w:szCs w:val="28"/>
          <w:lang w:val="el-GR"/>
        </w:rPr>
      </w:pPr>
    </w:p>
    <w:p w14:paraId="04A483F3" w14:textId="39097FCC" w:rsidR="00964125" w:rsidRDefault="009815D3" w:rsidP="008E4CC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Ως λόγοι επί των οποίων βασίζεται το αίτημα</w:t>
      </w:r>
      <w:r w:rsidR="00153CBA" w:rsidRPr="00153CBA">
        <w:rPr>
          <w:rFonts w:ascii="Bookman Old Style" w:hAnsi="Bookman Old Style" w:cs="Arial"/>
          <w:sz w:val="28"/>
          <w:szCs w:val="28"/>
          <w:lang w:val="el-GR"/>
        </w:rPr>
        <w:t xml:space="preserve"> </w:t>
      </w:r>
      <w:r w:rsidR="00153CBA">
        <w:rPr>
          <w:rFonts w:ascii="Bookman Old Style" w:hAnsi="Bookman Old Style" w:cs="Arial"/>
          <w:sz w:val="28"/>
          <w:szCs w:val="28"/>
          <w:lang w:val="el-GR"/>
        </w:rPr>
        <w:t>στην υπό κρίση Αίτηση,</w:t>
      </w:r>
      <w:r>
        <w:rPr>
          <w:rFonts w:ascii="Bookman Old Style" w:hAnsi="Bookman Old Style" w:cs="Arial"/>
          <w:sz w:val="28"/>
          <w:szCs w:val="28"/>
          <w:lang w:val="el-GR"/>
        </w:rPr>
        <w:t xml:space="preserve"> εξειδικεύονται στην </w:t>
      </w:r>
      <w:r w:rsidR="003A4838">
        <w:rPr>
          <w:rFonts w:ascii="Bookman Old Style" w:hAnsi="Bookman Old Style" w:cs="Arial"/>
          <w:sz w:val="28"/>
          <w:szCs w:val="28"/>
          <w:lang w:val="el-GR"/>
        </w:rPr>
        <w:t>Έκ</w:t>
      </w:r>
      <w:r>
        <w:rPr>
          <w:rFonts w:ascii="Bookman Old Style" w:hAnsi="Bookman Old Style" w:cs="Arial"/>
          <w:sz w:val="28"/>
          <w:szCs w:val="28"/>
          <w:lang w:val="el-GR"/>
        </w:rPr>
        <w:t>θεση οι ακόλουθοι:</w:t>
      </w:r>
    </w:p>
    <w:p w14:paraId="50D03ACA" w14:textId="77777777" w:rsidR="009815D3" w:rsidRDefault="009815D3" w:rsidP="008E4CC4">
      <w:pPr>
        <w:spacing w:line="480" w:lineRule="auto"/>
        <w:ind w:right="-35"/>
        <w:jc w:val="both"/>
        <w:rPr>
          <w:rFonts w:ascii="Bookman Old Style" w:hAnsi="Bookman Old Style" w:cs="Arial"/>
          <w:sz w:val="28"/>
          <w:szCs w:val="28"/>
          <w:lang w:val="el-GR"/>
        </w:rPr>
      </w:pPr>
    </w:p>
    <w:p w14:paraId="52F43D09" w14:textId="50EA084B" w:rsidR="009815D3" w:rsidRDefault="009815D3" w:rsidP="00F2219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(Α) </w:t>
      </w:r>
      <w:r w:rsidR="00CE22CF">
        <w:rPr>
          <w:rFonts w:ascii="Bookman Old Style" w:hAnsi="Bookman Old Style" w:cs="Arial"/>
          <w:sz w:val="28"/>
          <w:szCs w:val="28"/>
          <w:lang w:val="el-GR"/>
        </w:rPr>
        <w:t xml:space="preserve">Το Κατώτερο Δικαστήριο στερείτο δικαιοδοσίας και/ή εξουσίας να εκδώσει το επίδικο </w:t>
      </w:r>
      <w:r w:rsidR="003A4838">
        <w:rPr>
          <w:rFonts w:ascii="Bookman Old Style" w:hAnsi="Bookman Old Style" w:cs="Arial"/>
          <w:sz w:val="28"/>
          <w:szCs w:val="28"/>
          <w:lang w:val="el-GR"/>
        </w:rPr>
        <w:t>Έντ</w:t>
      </w:r>
      <w:r w:rsidR="00CE22CF">
        <w:rPr>
          <w:rFonts w:ascii="Bookman Old Style" w:hAnsi="Bookman Old Style" w:cs="Arial"/>
          <w:sz w:val="28"/>
          <w:szCs w:val="28"/>
          <w:lang w:val="el-GR"/>
        </w:rPr>
        <w:t xml:space="preserve">αλμα, καθότι το εξέδωσε αντίθετα με τις επιταγές των </w:t>
      </w:r>
      <w:r w:rsidR="00CE22CF">
        <w:rPr>
          <w:rFonts w:ascii="Bookman Old Style" w:hAnsi="Bookman Old Style" w:cs="Arial"/>
          <w:b/>
          <w:bCs/>
          <w:sz w:val="28"/>
          <w:szCs w:val="28"/>
          <w:lang w:val="el-GR"/>
        </w:rPr>
        <w:t xml:space="preserve">Άρθρων 27 </w:t>
      </w:r>
      <w:r w:rsidR="00CE22CF" w:rsidRPr="000B261A">
        <w:rPr>
          <w:rFonts w:ascii="Bookman Old Style" w:hAnsi="Bookman Old Style" w:cs="Arial"/>
          <w:sz w:val="28"/>
          <w:szCs w:val="28"/>
          <w:lang w:val="el-GR"/>
        </w:rPr>
        <w:t>και</w:t>
      </w:r>
      <w:r w:rsidR="00CE22CF">
        <w:rPr>
          <w:rFonts w:ascii="Bookman Old Style" w:hAnsi="Bookman Old Style" w:cs="Arial"/>
          <w:b/>
          <w:bCs/>
          <w:sz w:val="28"/>
          <w:szCs w:val="28"/>
          <w:lang w:val="el-GR"/>
        </w:rPr>
        <w:t xml:space="preserve"> 28 </w:t>
      </w:r>
      <w:r w:rsidR="00CE22CF" w:rsidRPr="000B261A">
        <w:rPr>
          <w:rFonts w:ascii="Bookman Old Style" w:hAnsi="Bookman Old Style" w:cs="Arial"/>
          <w:b/>
          <w:bCs/>
          <w:sz w:val="28"/>
          <w:szCs w:val="28"/>
          <w:lang w:val="el-GR"/>
        </w:rPr>
        <w:t>του</w:t>
      </w:r>
      <w:r w:rsidR="00CE22CF">
        <w:rPr>
          <w:rFonts w:ascii="Bookman Old Style" w:hAnsi="Bookman Old Style" w:cs="Arial"/>
          <w:b/>
          <w:bCs/>
          <w:sz w:val="28"/>
          <w:szCs w:val="28"/>
          <w:lang w:val="el-GR"/>
        </w:rPr>
        <w:t xml:space="preserve"> Κεφ. 155</w:t>
      </w:r>
      <w:r w:rsidR="00CE22CF">
        <w:rPr>
          <w:rFonts w:ascii="Bookman Old Style" w:hAnsi="Bookman Old Style" w:cs="Arial"/>
          <w:sz w:val="28"/>
          <w:szCs w:val="28"/>
          <w:lang w:val="el-GR"/>
        </w:rPr>
        <w:t xml:space="preserve"> και του </w:t>
      </w:r>
      <w:r w:rsidR="00CE22CF">
        <w:rPr>
          <w:rFonts w:ascii="Bookman Old Style" w:hAnsi="Bookman Old Style" w:cs="Arial"/>
          <w:b/>
          <w:bCs/>
          <w:sz w:val="28"/>
          <w:szCs w:val="28"/>
          <w:lang w:val="el-GR"/>
        </w:rPr>
        <w:t xml:space="preserve">Άρθρου 16 </w:t>
      </w:r>
      <w:r w:rsidR="00CE22CF" w:rsidRPr="000B261A">
        <w:rPr>
          <w:rFonts w:ascii="Bookman Old Style" w:hAnsi="Bookman Old Style" w:cs="Arial"/>
          <w:b/>
          <w:bCs/>
          <w:sz w:val="28"/>
          <w:szCs w:val="28"/>
          <w:lang w:val="el-GR"/>
        </w:rPr>
        <w:t xml:space="preserve">του </w:t>
      </w:r>
      <w:r w:rsidR="00CE22CF">
        <w:rPr>
          <w:rFonts w:ascii="Bookman Old Style" w:hAnsi="Bookman Old Style" w:cs="Arial"/>
          <w:b/>
          <w:bCs/>
          <w:sz w:val="28"/>
          <w:szCs w:val="28"/>
          <w:lang w:val="el-GR"/>
        </w:rPr>
        <w:t>Συντάγματος</w:t>
      </w:r>
      <w:r w:rsidR="00CE22CF">
        <w:rPr>
          <w:rFonts w:ascii="Bookman Old Style" w:hAnsi="Bookman Old Style" w:cs="Arial"/>
          <w:sz w:val="28"/>
          <w:szCs w:val="28"/>
          <w:lang w:val="el-GR"/>
        </w:rPr>
        <w:t>.</w:t>
      </w:r>
    </w:p>
    <w:p w14:paraId="4DB8A59C" w14:textId="77777777" w:rsidR="003A4838" w:rsidRDefault="003A4838" w:rsidP="00F2219C">
      <w:pPr>
        <w:spacing w:line="480" w:lineRule="auto"/>
        <w:ind w:right="-35"/>
        <w:jc w:val="both"/>
        <w:rPr>
          <w:rFonts w:ascii="Bookman Old Style" w:hAnsi="Bookman Old Style" w:cs="Arial"/>
          <w:sz w:val="28"/>
          <w:szCs w:val="28"/>
          <w:lang w:val="el-GR"/>
        </w:rPr>
      </w:pPr>
    </w:p>
    <w:p w14:paraId="0DDF37EF" w14:textId="78B0AC91" w:rsidR="00CE22CF" w:rsidRDefault="00CE22CF" w:rsidP="00F2219C">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t xml:space="preserve">(Β) Το Κατώτερο Δικαστήριο παραπλανήθηκε κατά την έκδοση του </w:t>
      </w:r>
      <w:r w:rsidR="003A4838">
        <w:rPr>
          <w:rFonts w:ascii="Bookman Old Style" w:hAnsi="Bookman Old Style" w:cs="Arial"/>
          <w:sz w:val="28"/>
          <w:szCs w:val="28"/>
          <w:lang w:val="el-GR"/>
        </w:rPr>
        <w:t xml:space="preserve">Εντάλματος Έρευνας </w:t>
      </w:r>
      <w:r>
        <w:rPr>
          <w:rFonts w:ascii="Bookman Old Style" w:hAnsi="Bookman Old Style" w:cs="Arial"/>
          <w:sz w:val="28"/>
          <w:szCs w:val="28"/>
          <w:lang w:val="el-GR"/>
        </w:rPr>
        <w:t>και/ή το εξέδωσε κατόπιν απόκρυψης ουσιωδών γεγονότων από τον ομνύοντα/αιτητή.</w:t>
      </w:r>
    </w:p>
    <w:p w14:paraId="4C901CAA" w14:textId="77777777" w:rsidR="003A4838" w:rsidRDefault="003A4838" w:rsidP="00F2219C">
      <w:pPr>
        <w:spacing w:line="480" w:lineRule="auto"/>
        <w:ind w:right="-34"/>
        <w:jc w:val="both"/>
        <w:rPr>
          <w:rFonts w:ascii="Bookman Old Style" w:hAnsi="Bookman Old Style" w:cs="Arial"/>
          <w:sz w:val="28"/>
          <w:szCs w:val="28"/>
          <w:lang w:val="el-GR"/>
        </w:rPr>
      </w:pPr>
    </w:p>
    <w:p w14:paraId="110B1E63" w14:textId="23D06AD9" w:rsidR="00CE22CF" w:rsidRDefault="00CE22CF" w:rsidP="00F2219C">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t xml:space="preserve">(Γ) Το προσβαλλόμενο </w:t>
      </w:r>
      <w:r w:rsidR="003A4838">
        <w:rPr>
          <w:rFonts w:ascii="Bookman Old Style" w:hAnsi="Bookman Old Style" w:cs="Arial"/>
          <w:sz w:val="28"/>
          <w:szCs w:val="28"/>
          <w:lang w:val="el-GR"/>
        </w:rPr>
        <w:t>Έντ</w:t>
      </w:r>
      <w:r>
        <w:rPr>
          <w:rFonts w:ascii="Bookman Old Style" w:hAnsi="Bookman Old Style" w:cs="Arial"/>
          <w:sz w:val="28"/>
          <w:szCs w:val="28"/>
          <w:lang w:val="el-GR"/>
        </w:rPr>
        <w:t xml:space="preserve">αλμα πάσχει και/ή εξεδόθη καθ’ υπέρβαση εξουσίας και/ή κατά παράβαση του </w:t>
      </w:r>
      <w:r>
        <w:rPr>
          <w:rFonts w:ascii="Bookman Old Style" w:hAnsi="Bookman Old Style" w:cs="Arial"/>
          <w:b/>
          <w:bCs/>
          <w:sz w:val="28"/>
          <w:szCs w:val="28"/>
          <w:lang w:val="el-GR"/>
        </w:rPr>
        <w:t xml:space="preserve">Άρθρου 16 </w:t>
      </w:r>
      <w:r w:rsidRPr="000B261A">
        <w:rPr>
          <w:rFonts w:ascii="Bookman Old Style" w:hAnsi="Bookman Old Style" w:cs="Arial"/>
          <w:b/>
          <w:bCs/>
          <w:sz w:val="28"/>
          <w:szCs w:val="28"/>
          <w:lang w:val="el-GR"/>
        </w:rPr>
        <w:t>του</w:t>
      </w:r>
      <w:r w:rsidRPr="000B261A">
        <w:rPr>
          <w:rFonts w:ascii="Bookman Old Style" w:hAnsi="Bookman Old Style" w:cs="Arial"/>
          <w:sz w:val="28"/>
          <w:szCs w:val="28"/>
          <w:lang w:val="el-GR"/>
        </w:rPr>
        <w:t xml:space="preserve"> </w:t>
      </w:r>
      <w:r>
        <w:rPr>
          <w:rFonts w:ascii="Bookman Old Style" w:hAnsi="Bookman Old Style" w:cs="Arial"/>
          <w:b/>
          <w:bCs/>
          <w:sz w:val="28"/>
          <w:szCs w:val="28"/>
          <w:lang w:val="el-GR"/>
        </w:rPr>
        <w:t xml:space="preserve">Συντάγματος </w:t>
      </w:r>
      <w:r>
        <w:rPr>
          <w:rFonts w:ascii="Bookman Old Style" w:hAnsi="Bookman Old Style" w:cs="Arial"/>
          <w:sz w:val="28"/>
          <w:szCs w:val="28"/>
          <w:lang w:val="el-GR"/>
        </w:rPr>
        <w:t xml:space="preserve">και/ή της αρχής της αναλογικότητας στο βαθμό που αυτό στερείται αιτιολογίας, ειδικότερα αφού τόσο η </w:t>
      </w:r>
      <w:r w:rsidR="003A4838">
        <w:rPr>
          <w:rFonts w:ascii="Bookman Old Style" w:hAnsi="Bookman Old Style" w:cs="Arial"/>
          <w:sz w:val="28"/>
          <w:szCs w:val="28"/>
          <w:lang w:val="el-GR"/>
        </w:rPr>
        <w:t>Α</w:t>
      </w:r>
      <w:r>
        <w:rPr>
          <w:rFonts w:ascii="Bookman Old Style" w:hAnsi="Bookman Old Style" w:cs="Arial"/>
          <w:sz w:val="28"/>
          <w:szCs w:val="28"/>
          <w:lang w:val="el-GR"/>
        </w:rPr>
        <w:t xml:space="preserve">ίτηση, όσο και το </w:t>
      </w:r>
      <w:r w:rsidR="003A4838">
        <w:rPr>
          <w:rFonts w:ascii="Bookman Old Style" w:hAnsi="Bookman Old Style" w:cs="Arial"/>
          <w:sz w:val="28"/>
          <w:szCs w:val="28"/>
          <w:lang w:val="el-GR"/>
        </w:rPr>
        <w:t>Έντ</w:t>
      </w:r>
      <w:r>
        <w:rPr>
          <w:rFonts w:ascii="Bookman Old Style" w:hAnsi="Bookman Old Style" w:cs="Arial"/>
          <w:sz w:val="28"/>
          <w:szCs w:val="28"/>
          <w:lang w:val="el-GR"/>
        </w:rPr>
        <w:t>αλμα, δεν αναφέρονται σε συγκεκριμένα αντικείμενα τα οποία αναζητούνται, αλλά σε γενικά και αόριστα «</w:t>
      </w:r>
      <w:r>
        <w:rPr>
          <w:rFonts w:ascii="Bookman Old Style" w:hAnsi="Bookman Old Style" w:cs="Arial"/>
          <w:i/>
          <w:iCs/>
          <w:sz w:val="28"/>
          <w:szCs w:val="28"/>
          <w:lang w:val="el-GR"/>
        </w:rPr>
        <w:t>προϊόντα που περιέχουν κανναβιδιόλη</w:t>
      </w:r>
      <w:r>
        <w:rPr>
          <w:rFonts w:ascii="Bookman Old Style" w:hAnsi="Bookman Old Style" w:cs="Arial"/>
          <w:sz w:val="28"/>
          <w:szCs w:val="28"/>
          <w:lang w:val="el-GR"/>
        </w:rPr>
        <w:t xml:space="preserve">». </w:t>
      </w:r>
    </w:p>
    <w:p w14:paraId="2222E2B6" w14:textId="77777777" w:rsidR="009356E4" w:rsidRDefault="009356E4" w:rsidP="00F2219C">
      <w:pPr>
        <w:spacing w:line="480" w:lineRule="auto"/>
        <w:ind w:right="-34"/>
        <w:jc w:val="both"/>
        <w:rPr>
          <w:rFonts w:ascii="Bookman Old Style" w:hAnsi="Bookman Old Style" w:cs="Arial"/>
          <w:sz w:val="28"/>
          <w:szCs w:val="28"/>
          <w:lang w:val="el-GR"/>
        </w:rPr>
      </w:pPr>
    </w:p>
    <w:p w14:paraId="39F50E16" w14:textId="6214C705" w:rsidR="00CE22CF" w:rsidRDefault="00CE22CF" w:rsidP="00F2219C">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t xml:space="preserve">(Δ) Το Κατώτερο Δικαστήριο εκδίδοντας το επίδικο </w:t>
      </w:r>
      <w:r w:rsidR="003A4838">
        <w:rPr>
          <w:rFonts w:ascii="Bookman Old Style" w:hAnsi="Bookman Old Style" w:cs="Arial"/>
          <w:sz w:val="28"/>
          <w:szCs w:val="28"/>
          <w:lang w:val="el-GR"/>
        </w:rPr>
        <w:t>Έν</w:t>
      </w:r>
      <w:r>
        <w:rPr>
          <w:rFonts w:ascii="Bookman Old Style" w:hAnsi="Bookman Old Style" w:cs="Arial"/>
          <w:sz w:val="28"/>
          <w:szCs w:val="28"/>
          <w:lang w:val="el-GR"/>
        </w:rPr>
        <w:t xml:space="preserve">ταλμα παραβίασε τα </w:t>
      </w:r>
      <w:r>
        <w:rPr>
          <w:rFonts w:ascii="Bookman Old Style" w:hAnsi="Bookman Old Style" w:cs="Arial"/>
          <w:b/>
          <w:bCs/>
          <w:sz w:val="28"/>
          <w:szCs w:val="28"/>
          <w:lang w:val="el-GR"/>
        </w:rPr>
        <w:t xml:space="preserve">Άρθρα 15 </w:t>
      </w:r>
      <w:r w:rsidRPr="000B261A">
        <w:rPr>
          <w:rFonts w:ascii="Bookman Old Style" w:hAnsi="Bookman Old Style" w:cs="Arial"/>
          <w:sz w:val="28"/>
          <w:szCs w:val="28"/>
          <w:lang w:val="el-GR"/>
        </w:rPr>
        <w:t>και</w:t>
      </w:r>
      <w:r>
        <w:rPr>
          <w:rFonts w:ascii="Bookman Old Style" w:hAnsi="Bookman Old Style" w:cs="Arial"/>
          <w:b/>
          <w:bCs/>
          <w:sz w:val="28"/>
          <w:szCs w:val="28"/>
          <w:lang w:val="el-GR"/>
        </w:rPr>
        <w:t xml:space="preserve"> 16 </w:t>
      </w:r>
      <w:r w:rsidRPr="000B261A">
        <w:rPr>
          <w:rFonts w:ascii="Bookman Old Style" w:hAnsi="Bookman Old Style" w:cs="Arial"/>
          <w:b/>
          <w:bCs/>
          <w:sz w:val="28"/>
          <w:szCs w:val="28"/>
          <w:lang w:val="el-GR"/>
        </w:rPr>
        <w:t>το</w:t>
      </w:r>
      <w:r>
        <w:rPr>
          <w:rFonts w:ascii="Bookman Old Style" w:hAnsi="Bookman Old Style" w:cs="Arial"/>
          <w:b/>
          <w:bCs/>
          <w:sz w:val="28"/>
          <w:szCs w:val="28"/>
          <w:lang w:val="el-GR"/>
        </w:rPr>
        <w:t>υ Συντάγματος</w:t>
      </w:r>
      <w:r>
        <w:rPr>
          <w:rFonts w:ascii="Bookman Old Style" w:hAnsi="Bookman Old Style" w:cs="Arial"/>
          <w:sz w:val="28"/>
          <w:szCs w:val="28"/>
          <w:lang w:val="el-GR"/>
        </w:rPr>
        <w:t xml:space="preserve"> και το αντίστοιχο </w:t>
      </w:r>
      <w:r>
        <w:rPr>
          <w:rFonts w:ascii="Bookman Old Style" w:hAnsi="Bookman Old Style" w:cs="Arial"/>
          <w:b/>
          <w:bCs/>
          <w:sz w:val="28"/>
          <w:szCs w:val="28"/>
          <w:lang w:val="el-GR"/>
        </w:rPr>
        <w:t>Άρθρο 8 της ΕΣΔΑ</w:t>
      </w:r>
      <w:r>
        <w:rPr>
          <w:rFonts w:ascii="Bookman Old Style" w:hAnsi="Bookman Old Style" w:cs="Arial"/>
          <w:sz w:val="28"/>
          <w:szCs w:val="28"/>
          <w:lang w:val="el-GR"/>
        </w:rPr>
        <w:t xml:space="preserve"> και τα </w:t>
      </w:r>
      <w:r>
        <w:rPr>
          <w:rFonts w:ascii="Bookman Old Style" w:hAnsi="Bookman Old Style" w:cs="Arial"/>
          <w:b/>
          <w:bCs/>
          <w:sz w:val="28"/>
          <w:szCs w:val="28"/>
          <w:lang w:val="el-GR"/>
        </w:rPr>
        <w:t xml:space="preserve">Άρθρα 7 </w:t>
      </w:r>
      <w:r w:rsidRPr="000B261A">
        <w:rPr>
          <w:rFonts w:ascii="Bookman Old Style" w:hAnsi="Bookman Old Style" w:cs="Arial"/>
          <w:sz w:val="28"/>
          <w:szCs w:val="28"/>
          <w:lang w:val="el-GR"/>
        </w:rPr>
        <w:t>και</w:t>
      </w:r>
      <w:r>
        <w:rPr>
          <w:rFonts w:ascii="Bookman Old Style" w:hAnsi="Bookman Old Style" w:cs="Arial"/>
          <w:b/>
          <w:bCs/>
          <w:sz w:val="28"/>
          <w:szCs w:val="28"/>
          <w:lang w:val="el-GR"/>
        </w:rPr>
        <w:t xml:space="preserve"> 17 του Χάρτη Θεμελιωδών Δικαιωμάτων της Ευρωπαϊκής Ένωσης</w:t>
      </w:r>
      <w:r w:rsidR="0068733F">
        <w:rPr>
          <w:rFonts w:ascii="Bookman Old Style" w:hAnsi="Bookman Old Style" w:cs="Arial"/>
          <w:sz w:val="28"/>
          <w:szCs w:val="28"/>
          <w:lang w:val="el-GR"/>
        </w:rPr>
        <w:t>,</w:t>
      </w:r>
      <w:r>
        <w:rPr>
          <w:rFonts w:ascii="Bookman Old Style" w:hAnsi="Bookman Old Style" w:cs="Arial"/>
          <w:b/>
          <w:bCs/>
          <w:sz w:val="28"/>
          <w:szCs w:val="28"/>
          <w:lang w:val="el-GR"/>
        </w:rPr>
        <w:t xml:space="preserve"> </w:t>
      </w:r>
      <w:r>
        <w:rPr>
          <w:rFonts w:ascii="Bookman Old Style" w:hAnsi="Bookman Old Style" w:cs="Arial"/>
          <w:sz w:val="28"/>
          <w:szCs w:val="28"/>
          <w:lang w:val="el-GR"/>
        </w:rPr>
        <w:t>τα οποία ορίζουν τις αυστηρές προϋποθέσεις για την επέμβαση στην ιδιωτική και οικογενειακή ζωή ενός ατόμου και άρση του ασύλου της κατοικίας μέσα από διαδικασία και δικονομικές εγγυήσεις που προβλέπονται στο Νόμο.</w:t>
      </w:r>
    </w:p>
    <w:p w14:paraId="10DA78E3" w14:textId="77777777" w:rsidR="00F2219C" w:rsidRDefault="00F2219C" w:rsidP="00C570FB">
      <w:pPr>
        <w:spacing w:line="480" w:lineRule="auto"/>
        <w:ind w:right="-34"/>
        <w:jc w:val="both"/>
        <w:rPr>
          <w:rFonts w:ascii="Bookman Old Style" w:hAnsi="Bookman Old Style" w:cs="Arial"/>
          <w:sz w:val="28"/>
          <w:szCs w:val="28"/>
          <w:lang w:val="el-GR"/>
        </w:rPr>
      </w:pPr>
    </w:p>
    <w:p w14:paraId="6C561624" w14:textId="153AFA1C" w:rsidR="00CE22CF" w:rsidRDefault="00CE22CF" w:rsidP="00C570FB">
      <w:pPr>
        <w:spacing w:line="480" w:lineRule="auto"/>
        <w:ind w:right="-34"/>
        <w:jc w:val="both"/>
        <w:rPr>
          <w:rFonts w:ascii="Bookman Old Style" w:hAnsi="Bookman Old Style" w:cs="Arial"/>
          <w:sz w:val="28"/>
          <w:szCs w:val="28"/>
          <w:lang w:val="el-GR"/>
        </w:rPr>
      </w:pPr>
      <w:r>
        <w:rPr>
          <w:rFonts w:ascii="Bookman Old Style" w:hAnsi="Bookman Old Style" w:cs="Arial"/>
          <w:sz w:val="28"/>
          <w:szCs w:val="28"/>
          <w:lang w:val="el-GR"/>
        </w:rPr>
        <w:t xml:space="preserve">(Ε) Το Κατώτερο Δικαστήριο εκδίδοντας το επίδικο </w:t>
      </w:r>
      <w:r w:rsidR="003A4838">
        <w:rPr>
          <w:rFonts w:ascii="Bookman Old Style" w:hAnsi="Bookman Old Style" w:cs="Arial"/>
          <w:sz w:val="28"/>
          <w:szCs w:val="28"/>
          <w:lang w:val="el-GR"/>
        </w:rPr>
        <w:t>Έν</w:t>
      </w:r>
      <w:r>
        <w:rPr>
          <w:rFonts w:ascii="Bookman Old Style" w:hAnsi="Bookman Old Style" w:cs="Arial"/>
          <w:sz w:val="28"/>
          <w:szCs w:val="28"/>
          <w:lang w:val="el-GR"/>
        </w:rPr>
        <w:t xml:space="preserve">ταλμα παραβίασε τις πρόνοιες του </w:t>
      </w:r>
      <w:r>
        <w:rPr>
          <w:rFonts w:ascii="Bookman Old Style" w:hAnsi="Bookman Old Style" w:cs="Arial"/>
          <w:b/>
          <w:bCs/>
          <w:sz w:val="28"/>
          <w:szCs w:val="28"/>
          <w:lang w:val="el-GR"/>
        </w:rPr>
        <w:t>Άρθρου 27(γ)</w:t>
      </w:r>
      <w:r w:rsidRPr="00CE22CF">
        <w:rPr>
          <w:rFonts w:ascii="Bookman Old Style" w:hAnsi="Bookman Old Style" w:cs="Arial"/>
          <w:b/>
          <w:bCs/>
          <w:sz w:val="28"/>
          <w:szCs w:val="28"/>
          <w:lang w:val="el-GR"/>
        </w:rPr>
        <w:t>(</w:t>
      </w:r>
      <w:r>
        <w:rPr>
          <w:rFonts w:ascii="Bookman Old Style" w:hAnsi="Bookman Old Style" w:cs="Arial"/>
          <w:b/>
          <w:bCs/>
          <w:sz w:val="28"/>
          <w:szCs w:val="28"/>
          <w:lang w:val="en-US"/>
        </w:rPr>
        <w:t>i</w:t>
      </w:r>
      <w:r w:rsidRPr="00CE22CF">
        <w:rPr>
          <w:rFonts w:ascii="Bookman Old Style" w:hAnsi="Bookman Old Style" w:cs="Arial"/>
          <w:b/>
          <w:bCs/>
          <w:sz w:val="28"/>
          <w:szCs w:val="28"/>
          <w:lang w:val="el-GR"/>
        </w:rPr>
        <w:t xml:space="preserve">) </w:t>
      </w:r>
      <w:r>
        <w:rPr>
          <w:rFonts w:ascii="Bookman Old Style" w:hAnsi="Bookman Old Style" w:cs="Arial"/>
          <w:b/>
          <w:bCs/>
          <w:sz w:val="28"/>
          <w:szCs w:val="28"/>
          <w:lang w:val="el-GR"/>
        </w:rPr>
        <w:t>του Κεφ. 155</w:t>
      </w:r>
      <w:r>
        <w:rPr>
          <w:rFonts w:ascii="Bookman Old Style" w:hAnsi="Bookman Old Style" w:cs="Arial"/>
          <w:sz w:val="28"/>
          <w:szCs w:val="28"/>
          <w:lang w:val="el-GR"/>
        </w:rPr>
        <w:t>.</w:t>
      </w:r>
    </w:p>
    <w:p w14:paraId="560C2C54" w14:textId="77777777" w:rsidR="00FB1582" w:rsidRDefault="00FB1582" w:rsidP="00C570FB">
      <w:pPr>
        <w:spacing w:line="480" w:lineRule="auto"/>
        <w:ind w:right="-34"/>
        <w:jc w:val="both"/>
        <w:rPr>
          <w:rFonts w:ascii="Bookman Old Style" w:hAnsi="Bookman Old Style" w:cs="Arial"/>
          <w:sz w:val="28"/>
          <w:szCs w:val="28"/>
          <w:lang w:val="el-GR"/>
        </w:rPr>
      </w:pPr>
    </w:p>
    <w:p w14:paraId="7A94B00A" w14:textId="120D364F" w:rsidR="00D91562" w:rsidRPr="009E1129" w:rsidRDefault="00D91562" w:rsidP="008E4CC4">
      <w:pPr>
        <w:spacing w:line="480" w:lineRule="auto"/>
        <w:ind w:right="-35"/>
        <w:jc w:val="both"/>
        <w:rPr>
          <w:rFonts w:ascii="Bookman Old Style" w:hAnsi="Bookman Old Style"/>
          <w:sz w:val="28"/>
          <w:szCs w:val="28"/>
          <w:lang w:val="el-GR"/>
        </w:rPr>
      </w:pPr>
      <w:r w:rsidRPr="009E1129">
        <w:rPr>
          <w:rFonts w:ascii="Bookman Old Style" w:hAnsi="Bookman Old Style"/>
          <w:sz w:val="28"/>
          <w:szCs w:val="28"/>
          <w:lang w:val="el-GR"/>
        </w:rPr>
        <w:t xml:space="preserve">Έχω διεξέλθει με προσοχή την προσβαλλόμενη Απόφαση του Κατώτερου Δικαστηρίου, καθώς επίσης και ό,τι </w:t>
      </w:r>
      <w:r w:rsidR="00153CBA">
        <w:rPr>
          <w:rFonts w:ascii="Bookman Old Style" w:hAnsi="Bookman Old Style"/>
          <w:sz w:val="28"/>
          <w:szCs w:val="28"/>
          <w:lang w:val="el-GR"/>
        </w:rPr>
        <w:t>η Αιτήτρια</w:t>
      </w:r>
      <w:r w:rsidRPr="009E1129">
        <w:rPr>
          <w:rFonts w:ascii="Bookman Old Style" w:hAnsi="Bookman Old Style"/>
          <w:sz w:val="28"/>
          <w:szCs w:val="28"/>
          <w:lang w:val="el-GR"/>
        </w:rPr>
        <w:t xml:space="preserve"> μέσω του ευπαίδευτου συνηγόρου τ</w:t>
      </w:r>
      <w:r w:rsidR="00153CBA">
        <w:rPr>
          <w:rFonts w:ascii="Bookman Old Style" w:hAnsi="Bookman Old Style"/>
          <w:sz w:val="28"/>
          <w:szCs w:val="28"/>
          <w:lang w:val="el-GR"/>
        </w:rPr>
        <w:t>ης</w:t>
      </w:r>
      <w:r w:rsidRPr="009E1129">
        <w:rPr>
          <w:rFonts w:ascii="Bookman Old Style" w:hAnsi="Bookman Old Style"/>
          <w:sz w:val="28"/>
          <w:szCs w:val="28"/>
          <w:lang w:val="el-GR"/>
        </w:rPr>
        <w:t xml:space="preserve"> έχει θέσει ενώπιον μου, συμπεριλαμβανομένων των επιχειρημάτων που αναπτύχθηκαν τόσο γραπτώς, όσο και δια ζώσης.</w:t>
      </w:r>
    </w:p>
    <w:p w14:paraId="75E236E8" w14:textId="77777777" w:rsidR="00D91562" w:rsidRPr="009E1129" w:rsidRDefault="00D91562" w:rsidP="008E4CC4">
      <w:pPr>
        <w:spacing w:line="480" w:lineRule="auto"/>
        <w:ind w:right="-35"/>
        <w:jc w:val="both"/>
        <w:rPr>
          <w:rFonts w:ascii="Bookman Old Style" w:hAnsi="Bookman Old Style"/>
          <w:sz w:val="28"/>
          <w:szCs w:val="28"/>
          <w:lang w:val="el-GR"/>
        </w:rPr>
      </w:pPr>
    </w:p>
    <w:p w14:paraId="1A21E101" w14:textId="7C2D2D6F" w:rsidR="00C570FB" w:rsidRPr="0068733F" w:rsidRDefault="00D91562" w:rsidP="008E4CC4">
      <w:pPr>
        <w:spacing w:line="480" w:lineRule="auto"/>
        <w:ind w:right="-35"/>
        <w:jc w:val="both"/>
        <w:rPr>
          <w:rFonts w:ascii="Bookman Old Style" w:hAnsi="Bookman Old Style"/>
          <w:sz w:val="28"/>
          <w:szCs w:val="28"/>
          <w:lang w:val="el-GR"/>
        </w:rPr>
      </w:pPr>
      <w:r w:rsidRPr="009E1129">
        <w:rPr>
          <w:rFonts w:ascii="Bookman Old Style" w:hAnsi="Bookman Old Style"/>
          <w:sz w:val="28"/>
          <w:szCs w:val="28"/>
          <w:lang w:val="el-GR"/>
        </w:rPr>
        <w:t xml:space="preserve">Οι αρχές που διέπουν τη χορήγηση άδειας για καταχώρηση αίτησης προς έκδοση </w:t>
      </w:r>
      <w:r w:rsidR="008D56D6">
        <w:rPr>
          <w:rFonts w:ascii="Bookman Old Style" w:hAnsi="Bookman Old Style"/>
          <w:sz w:val="28"/>
          <w:szCs w:val="28"/>
          <w:lang w:val="el-GR"/>
        </w:rPr>
        <w:t>Π</w:t>
      </w:r>
      <w:r w:rsidRPr="009E1129">
        <w:rPr>
          <w:rFonts w:ascii="Bookman Old Style" w:hAnsi="Bookman Old Style"/>
          <w:sz w:val="28"/>
          <w:szCs w:val="28"/>
          <w:lang w:val="el-GR"/>
        </w:rPr>
        <w:t xml:space="preserve">ρονομιακού </w:t>
      </w:r>
      <w:r w:rsidR="008D56D6">
        <w:rPr>
          <w:rFonts w:ascii="Bookman Old Style" w:hAnsi="Bookman Old Style"/>
          <w:sz w:val="28"/>
          <w:szCs w:val="28"/>
          <w:lang w:val="el-GR"/>
        </w:rPr>
        <w:t>Ε</w:t>
      </w:r>
      <w:r w:rsidRPr="009E1129">
        <w:rPr>
          <w:rFonts w:ascii="Bookman Old Style" w:hAnsi="Bookman Old Style"/>
          <w:sz w:val="28"/>
          <w:szCs w:val="28"/>
          <w:lang w:val="el-GR"/>
        </w:rPr>
        <w:t xml:space="preserve">ντάλματος </w:t>
      </w:r>
      <w:r w:rsidRPr="00D91562">
        <w:rPr>
          <w:rFonts w:ascii="Bookman Old Style" w:hAnsi="Bookman Old Style"/>
          <w:i/>
          <w:iCs/>
          <w:sz w:val="28"/>
          <w:szCs w:val="28"/>
          <w:lang w:val="en-US"/>
        </w:rPr>
        <w:t>Certiorari</w:t>
      </w:r>
      <w:r w:rsidRPr="00D91562">
        <w:rPr>
          <w:rFonts w:ascii="Bookman Old Style" w:hAnsi="Bookman Old Style"/>
          <w:sz w:val="28"/>
          <w:szCs w:val="28"/>
          <w:lang w:val="el-GR"/>
        </w:rPr>
        <w:t xml:space="preserve"> </w:t>
      </w:r>
      <w:r w:rsidRPr="009E1129">
        <w:rPr>
          <w:rFonts w:ascii="Bookman Old Style" w:hAnsi="Bookman Old Style"/>
          <w:sz w:val="28"/>
          <w:szCs w:val="28"/>
          <w:lang w:val="el-GR"/>
        </w:rPr>
        <w:t xml:space="preserve">έχουν κατ’ επανάληψη αναφερθεί στη νομολογία μας. Η πιο κάτω περικοπή από την υπόθεση </w:t>
      </w:r>
      <w:r w:rsidRPr="009E1129">
        <w:rPr>
          <w:rFonts w:ascii="Bookman Old Style" w:hAnsi="Bookman Old Style"/>
          <w:b/>
          <w:bCs/>
          <w:i/>
          <w:iCs/>
          <w:sz w:val="28"/>
          <w:szCs w:val="28"/>
          <w:lang w:val="el-GR"/>
        </w:rPr>
        <w:t>Αναφορικά με την Αίτηση του Ευδόκα, Πολιτική Έφεση Αρ. 219/2015, ημερ. 29/12/2016</w:t>
      </w:r>
      <w:r w:rsidRPr="009E1129">
        <w:rPr>
          <w:rFonts w:ascii="Bookman Old Style" w:hAnsi="Bookman Old Style"/>
          <w:sz w:val="28"/>
          <w:szCs w:val="28"/>
          <w:lang w:val="el-GR"/>
        </w:rPr>
        <w:t>, είναι απόλυτα σχετική:</w:t>
      </w:r>
      <w:r w:rsidRPr="00D91562">
        <w:rPr>
          <w:rFonts w:ascii="Bookman Old Style" w:hAnsi="Bookman Old Style"/>
          <w:sz w:val="28"/>
          <w:szCs w:val="28"/>
        </w:rPr>
        <w:t> </w:t>
      </w:r>
    </w:p>
    <w:p w14:paraId="17B67389" w14:textId="77777777" w:rsidR="009356E4" w:rsidRPr="009E1129" w:rsidRDefault="009356E4" w:rsidP="008E4CC4">
      <w:pPr>
        <w:spacing w:line="480" w:lineRule="auto"/>
        <w:ind w:right="-35"/>
        <w:jc w:val="both"/>
        <w:rPr>
          <w:rFonts w:ascii="Bookman Old Style" w:hAnsi="Bookman Old Style"/>
          <w:sz w:val="28"/>
          <w:szCs w:val="28"/>
          <w:lang w:val="el-GR"/>
        </w:rPr>
      </w:pPr>
    </w:p>
    <w:p w14:paraId="71DE71A3" w14:textId="16E85617" w:rsidR="00D91562" w:rsidRDefault="00D91562" w:rsidP="009C1752">
      <w:pPr>
        <w:spacing w:line="276" w:lineRule="auto"/>
        <w:ind w:left="426" w:right="390"/>
        <w:jc w:val="both"/>
        <w:rPr>
          <w:rFonts w:ascii="Bookman Old Style" w:hAnsi="Bookman Old Style"/>
          <w:i/>
          <w:iCs/>
          <w:sz w:val="26"/>
          <w:szCs w:val="26"/>
          <w:lang w:val="el-GR"/>
        </w:rPr>
      </w:pPr>
      <w:r w:rsidRPr="009E1129">
        <w:rPr>
          <w:rFonts w:ascii="Bookman Old Style" w:hAnsi="Bookman Old Style"/>
          <w:sz w:val="26"/>
          <w:szCs w:val="26"/>
          <w:lang w:val="el-GR"/>
        </w:rPr>
        <w:t>«</w:t>
      </w:r>
      <w:r w:rsidRPr="009E1129">
        <w:rPr>
          <w:rFonts w:ascii="Bookman Old Style" w:hAnsi="Bookman Old Style"/>
          <w:i/>
          <w:iCs/>
          <w:sz w:val="26"/>
          <w:szCs w:val="26"/>
          <w:lang w:val="el-GR"/>
        </w:rPr>
        <w:t xml:space="preserve">Όπως επιτάσσει η νομολογία, για την παραχώρηση άδειας για την έκδοση προνομιακού εντάλματος </w:t>
      </w:r>
      <w:r w:rsidRPr="00D91562">
        <w:rPr>
          <w:rFonts w:ascii="Bookman Old Style" w:hAnsi="Bookman Old Style"/>
          <w:i/>
          <w:iCs/>
          <w:sz w:val="26"/>
          <w:szCs w:val="26"/>
        </w:rPr>
        <w:t>Certiorari</w:t>
      </w:r>
      <w:r w:rsidRPr="009E1129">
        <w:rPr>
          <w:rFonts w:ascii="Bookman Old Style" w:hAnsi="Bookman Old Style"/>
          <w:i/>
          <w:iCs/>
          <w:sz w:val="26"/>
          <w:szCs w:val="26"/>
          <w:lang w:val="el-GR"/>
        </w:rPr>
        <w:t xml:space="preserve">, η διαδικασία δεν έχει, ως αντικείμενο, την αναθεώρηση της ορθότητας των αποφάσεων των κατώτερων δικαστηρίων. Ο έλεγχος αυτός ασκείται αποκλειστικά στο πλαίσιο της εφετειακής δικαιοδοσίας του Ανωτάτου Δικαστηρίου. Η αρχή επί της οποίας εδράζεται η δικαιοδοτική βάση εξέτασης αιτήσεων για παραχώρηση αδείας καταχώρισης προνομιακού εντάλματος, είναι η σύννομη άσκηση της δικαιοδοσίας του κατώτερου δικαστηρίου. (Βλ. </w:t>
      </w:r>
      <w:r w:rsidRPr="00D91562">
        <w:rPr>
          <w:rFonts w:ascii="Bookman Old Style" w:hAnsi="Bookman Old Style"/>
          <w:b/>
          <w:bCs/>
          <w:i/>
          <w:iCs/>
          <w:sz w:val="26"/>
          <w:szCs w:val="26"/>
        </w:rPr>
        <w:t>In</w:t>
      </w:r>
      <w:r w:rsidRPr="00D91562">
        <w:rPr>
          <w:rFonts w:ascii="Bookman Old Style" w:hAnsi="Bookman Old Style"/>
          <w:b/>
          <w:bCs/>
          <w:i/>
          <w:iCs/>
          <w:sz w:val="26"/>
          <w:szCs w:val="26"/>
          <w:lang w:val="el-GR"/>
        </w:rPr>
        <w:t xml:space="preserve"> </w:t>
      </w:r>
      <w:r w:rsidRPr="00D91562">
        <w:rPr>
          <w:rFonts w:ascii="Bookman Old Style" w:hAnsi="Bookman Old Style"/>
          <w:b/>
          <w:bCs/>
          <w:i/>
          <w:iCs/>
          <w:sz w:val="26"/>
          <w:szCs w:val="26"/>
        </w:rPr>
        <w:t>Re</w:t>
      </w:r>
      <w:r w:rsidRPr="00D91562">
        <w:rPr>
          <w:rFonts w:ascii="Bookman Old Style" w:hAnsi="Bookman Old Style"/>
          <w:b/>
          <w:bCs/>
          <w:i/>
          <w:iCs/>
          <w:sz w:val="26"/>
          <w:szCs w:val="26"/>
          <w:lang w:val="el-GR"/>
        </w:rPr>
        <w:t xml:space="preserve"> </w:t>
      </w:r>
      <w:r w:rsidRPr="00D91562">
        <w:rPr>
          <w:rFonts w:ascii="Bookman Old Style" w:hAnsi="Bookman Old Style"/>
          <w:b/>
          <w:bCs/>
          <w:i/>
          <w:iCs/>
          <w:sz w:val="26"/>
          <w:szCs w:val="26"/>
        </w:rPr>
        <w:t>Kakos</w:t>
      </w:r>
      <w:r w:rsidRPr="00D91562">
        <w:rPr>
          <w:rFonts w:ascii="Bookman Old Style" w:hAnsi="Bookman Old Style"/>
          <w:b/>
          <w:bCs/>
          <w:i/>
          <w:iCs/>
          <w:sz w:val="26"/>
          <w:szCs w:val="26"/>
          <w:lang w:val="el-GR"/>
        </w:rPr>
        <w:t xml:space="preserve"> </w:t>
      </w:r>
      <w:r w:rsidRPr="009E1129">
        <w:rPr>
          <w:rFonts w:ascii="Bookman Old Style" w:hAnsi="Bookman Old Style"/>
          <w:b/>
          <w:bCs/>
          <w:i/>
          <w:iCs/>
          <w:sz w:val="26"/>
          <w:szCs w:val="26"/>
          <w:lang w:val="el-GR"/>
        </w:rPr>
        <w:t xml:space="preserve">(1985) </w:t>
      </w:r>
      <w:r w:rsidR="008D56D6">
        <w:rPr>
          <w:rFonts w:ascii="Bookman Old Style" w:hAnsi="Bookman Old Style"/>
          <w:b/>
          <w:bCs/>
          <w:i/>
          <w:iCs/>
          <w:sz w:val="26"/>
          <w:szCs w:val="26"/>
          <w:lang w:val="el-GR"/>
        </w:rPr>
        <w:t xml:space="preserve">                   </w:t>
      </w:r>
      <w:r w:rsidRPr="009E1129">
        <w:rPr>
          <w:rFonts w:ascii="Bookman Old Style" w:hAnsi="Bookman Old Style"/>
          <w:b/>
          <w:bCs/>
          <w:i/>
          <w:iCs/>
          <w:sz w:val="26"/>
          <w:szCs w:val="26"/>
          <w:lang w:val="el-GR"/>
        </w:rPr>
        <w:t xml:space="preserve">1 </w:t>
      </w:r>
      <w:r w:rsidRPr="00D91562">
        <w:rPr>
          <w:rFonts w:ascii="Bookman Old Style" w:hAnsi="Bookman Old Style"/>
          <w:b/>
          <w:bCs/>
          <w:i/>
          <w:iCs/>
          <w:sz w:val="26"/>
          <w:szCs w:val="26"/>
        </w:rPr>
        <w:t>C</w:t>
      </w:r>
      <w:r w:rsidRPr="009E1129">
        <w:rPr>
          <w:rFonts w:ascii="Bookman Old Style" w:hAnsi="Bookman Old Style"/>
          <w:b/>
          <w:bCs/>
          <w:i/>
          <w:iCs/>
          <w:sz w:val="26"/>
          <w:szCs w:val="26"/>
          <w:lang w:val="el-GR"/>
        </w:rPr>
        <w:t>.</w:t>
      </w:r>
      <w:r w:rsidRPr="00D91562">
        <w:rPr>
          <w:rFonts w:ascii="Bookman Old Style" w:hAnsi="Bookman Old Style"/>
          <w:b/>
          <w:bCs/>
          <w:i/>
          <w:iCs/>
          <w:sz w:val="26"/>
          <w:szCs w:val="26"/>
        </w:rPr>
        <w:t>L</w:t>
      </w:r>
      <w:r w:rsidRPr="009E1129">
        <w:rPr>
          <w:rFonts w:ascii="Bookman Old Style" w:hAnsi="Bookman Old Style"/>
          <w:b/>
          <w:bCs/>
          <w:i/>
          <w:iCs/>
          <w:sz w:val="26"/>
          <w:szCs w:val="26"/>
          <w:lang w:val="el-GR"/>
        </w:rPr>
        <w:t>.</w:t>
      </w:r>
      <w:r w:rsidRPr="00D91562">
        <w:rPr>
          <w:rFonts w:ascii="Bookman Old Style" w:hAnsi="Bookman Old Style"/>
          <w:b/>
          <w:bCs/>
          <w:i/>
          <w:iCs/>
          <w:sz w:val="26"/>
          <w:szCs w:val="26"/>
        </w:rPr>
        <w:t>R</w:t>
      </w:r>
      <w:r w:rsidRPr="009E1129">
        <w:rPr>
          <w:rFonts w:ascii="Bookman Old Style" w:hAnsi="Bookman Old Style"/>
          <w:b/>
          <w:bCs/>
          <w:i/>
          <w:iCs/>
          <w:sz w:val="26"/>
          <w:szCs w:val="26"/>
          <w:lang w:val="el-GR"/>
        </w:rPr>
        <w:t>. 250</w:t>
      </w:r>
      <w:r w:rsidRPr="009E1129">
        <w:rPr>
          <w:rFonts w:ascii="Bookman Old Style" w:hAnsi="Bookman Old Style"/>
          <w:i/>
          <w:iCs/>
          <w:sz w:val="26"/>
          <w:szCs w:val="26"/>
          <w:lang w:val="el-GR"/>
        </w:rPr>
        <w:t>).</w:t>
      </w:r>
    </w:p>
    <w:p w14:paraId="78078C6C" w14:textId="77777777" w:rsidR="003A4838" w:rsidRPr="009E1129" w:rsidRDefault="003A4838" w:rsidP="008E4CC4">
      <w:pPr>
        <w:spacing w:line="276" w:lineRule="auto"/>
        <w:ind w:left="426" w:right="-35"/>
        <w:jc w:val="both"/>
        <w:rPr>
          <w:rFonts w:ascii="Bookman Old Style" w:hAnsi="Bookman Old Style"/>
          <w:sz w:val="26"/>
          <w:szCs w:val="26"/>
          <w:lang w:val="el-GR"/>
        </w:rPr>
      </w:pPr>
    </w:p>
    <w:p w14:paraId="319011D6" w14:textId="625D74A7" w:rsidR="003A4838" w:rsidRDefault="00D91562" w:rsidP="00BF2213">
      <w:pPr>
        <w:spacing w:line="276" w:lineRule="auto"/>
        <w:ind w:left="425" w:right="390"/>
        <w:jc w:val="both"/>
        <w:rPr>
          <w:rFonts w:ascii="Bookman Old Style" w:hAnsi="Bookman Old Style"/>
          <w:i/>
          <w:iCs/>
          <w:sz w:val="26"/>
          <w:szCs w:val="26"/>
          <w:lang w:val="el-GR"/>
        </w:rPr>
      </w:pPr>
      <w:r w:rsidRPr="009E1129">
        <w:rPr>
          <w:rFonts w:ascii="Bookman Old Style" w:hAnsi="Bookman Old Style"/>
          <w:i/>
          <w:iCs/>
          <w:sz w:val="26"/>
          <w:szCs w:val="26"/>
          <w:lang w:val="el-GR"/>
        </w:rPr>
        <w:t xml:space="preserve">Περαιτέρω, εξετάζοντας την πιθανότητα χορήγησης αδείας θα πρέπει ο αιτητής να τεκμηριώσει, εκ πρώτης όψεως, και αιτιολογήσει τη χορήγηση αδείας. </w:t>
      </w:r>
      <w:r w:rsidRPr="00AC0FEF">
        <w:rPr>
          <w:rFonts w:ascii="Bookman Old Style" w:hAnsi="Bookman Old Style"/>
          <w:i/>
          <w:iCs/>
          <w:sz w:val="26"/>
          <w:szCs w:val="26"/>
          <w:lang w:val="el-GR"/>
        </w:rPr>
        <w:t xml:space="preserve">(Βλ. </w:t>
      </w:r>
      <w:r w:rsidRPr="00AC0FEF">
        <w:rPr>
          <w:rFonts w:ascii="Bookman Old Style" w:hAnsi="Bookman Old Style"/>
          <w:b/>
          <w:bCs/>
          <w:i/>
          <w:iCs/>
          <w:sz w:val="26"/>
          <w:szCs w:val="26"/>
          <w:lang w:val="el-GR"/>
        </w:rPr>
        <w:t>Λυσιώτης (1986) 1 Α.Α.Δ. 1696</w:t>
      </w:r>
      <w:r w:rsidRPr="00AC0FEF">
        <w:rPr>
          <w:rFonts w:ascii="Bookman Old Style" w:hAnsi="Bookman Old Style"/>
          <w:i/>
          <w:iCs/>
          <w:sz w:val="26"/>
          <w:szCs w:val="26"/>
          <w:lang w:val="el-GR"/>
        </w:rPr>
        <w:t>).</w:t>
      </w:r>
    </w:p>
    <w:p w14:paraId="23DFDB09" w14:textId="77777777" w:rsidR="001A7AC0" w:rsidRPr="00AC0FEF" w:rsidRDefault="001A7AC0" w:rsidP="00BF2213">
      <w:pPr>
        <w:spacing w:line="276" w:lineRule="auto"/>
        <w:ind w:left="425" w:right="390"/>
        <w:jc w:val="both"/>
        <w:rPr>
          <w:rFonts w:ascii="Bookman Old Style" w:hAnsi="Bookman Old Style"/>
          <w:sz w:val="26"/>
          <w:szCs w:val="26"/>
          <w:lang w:val="el-GR"/>
        </w:rPr>
      </w:pPr>
    </w:p>
    <w:p w14:paraId="7550741E" w14:textId="137F7DAA" w:rsidR="00D91562" w:rsidRDefault="00D91562" w:rsidP="009C1752">
      <w:pPr>
        <w:spacing w:line="276" w:lineRule="auto"/>
        <w:ind w:left="425" w:right="390"/>
        <w:jc w:val="both"/>
        <w:rPr>
          <w:rFonts w:ascii="Bookman Old Style" w:hAnsi="Bookman Old Style"/>
          <w:sz w:val="26"/>
          <w:szCs w:val="26"/>
          <w:lang w:val="el-GR"/>
        </w:rPr>
      </w:pPr>
      <w:r w:rsidRPr="009E1129">
        <w:rPr>
          <w:rFonts w:ascii="Bookman Old Style" w:hAnsi="Bookman Old Style"/>
          <w:i/>
          <w:iCs/>
          <w:sz w:val="26"/>
          <w:szCs w:val="26"/>
          <w:lang w:val="el-GR"/>
        </w:rPr>
        <w:t xml:space="preserve">Τα προνομιακά εντάλματα παραχωρούνται, κατ' εξαίρεση, όταν από το ίδιο το πρακτικό διαπιστώνεται έλλειψη ή υπέρβαση δικαιοδοσίας, ή πλάνη περί το Νόμο, ή παραβίαση των κανόνων φυσικής δικαιοσύνης. (Βλ. </w:t>
      </w:r>
      <w:r w:rsidRPr="00D91562">
        <w:rPr>
          <w:rFonts w:ascii="Bookman Old Style" w:hAnsi="Bookman Old Style"/>
          <w:b/>
          <w:bCs/>
          <w:i/>
          <w:iCs/>
          <w:sz w:val="26"/>
          <w:szCs w:val="26"/>
        </w:rPr>
        <w:t>Global</w:t>
      </w:r>
      <w:r w:rsidRPr="00D91562">
        <w:rPr>
          <w:rFonts w:ascii="Bookman Old Style" w:hAnsi="Bookman Old Style"/>
          <w:b/>
          <w:bCs/>
          <w:i/>
          <w:iCs/>
          <w:sz w:val="26"/>
          <w:szCs w:val="26"/>
          <w:lang w:val="el-GR"/>
        </w:rPr>
        <w:t xml:space="preserve"> </w:t>
      </w:r>
      <w:r w:rsidRPr="00D91562">
        <w:rPr>
          <w:rFonts w:ascii="Bookman Old Style" w:hAnsi="Bookman Old Style"/>
          <w:b/>
          <w:bCs/>
          <w:i/>
          <w:iCs/>
          <w:sz w:val="26"/>
          <w:szCs w:val="26"/>
        </w:rPr>
        <w:t>Consolidator</w:t>
      </w:r>
      <w:r w:rsidRPr="00D91562">
        <w:rPr>
          <w:rFonts w:ascii="Bookman Old Style" w:hAnsi="Bookman Old Style"/>
          <w:b/>
          <w:bCs/>
          <w:i/>
          <w:iCs/>
          <w:sz w:val="26"/>
          <w:szCs w:val="26"/>
          <w:lang w:val="el-GR"/>
        </w:rPr>
        <w:t xml:space="preserve"> </w:t>
      </w:r>
      <w:r w:rsidRPr="00D91562">
        <w:rPr>
          <w:rFonts w:ascii="Bookman Old Style" w:hAnsi="Bookman Old Style"/>
          <w:b/>
          <w:bCs/>
          <w:i/>
          <w:iCs/>
          <w:sz w:val="26"/>
          <w:szCs w:val="26"/>
        </w:rPr>
        <w:t>Public</w:t>
      </w:r>
      <w:r w:rsidRPr="00D91562">
        <w:rPr>
          <w:rFonts w:ascii="Bookman Old Style" w:hAnsi="Bookman Old Style"/>
          <w:b/>
          <w:bCs/>
          <w:i/>
          <w:iCs/>
          <w:sz w:val="26"/>
          <w:szCs w:val="26"/>
          <w:lang w:val="el-GR"/>
        </w:rPr>
        <w:t xml:space="preserve"> </w:t>
      </w:r>
      <w:r w:rsidRPr="00D91562">
        <w:rPr>
          <w:rFonts w:ascii="Bookman Old Style" w:hAnsi="Bookman Old Style"/>
          <w:b/>
          <w:bCs/>
          <w:i/>
          <w:iCs/>
          <w:sz w:val="26"/>
          <w:szCs w:val="26"/>
        </w:rPr>
        <w:t>Ltd</w:t>
      </w:r>
      <w:r w:rsidRPr="00D91562">
        <w:rPr>
          <w:rFonts w:ascii="Bookman Old Style" w:hAnsi="Bookman Old Style"/>
          <w:b/>
          <w:bCs/>
          <w:i/>
          <w:iCs/>
          <w:sz w:val="26"/>
          <w:szCs w:val="26"/>
          <w:lang w:val="el-GR"/>
        </w:rPr>
        <w:t xml:space="preserve"> </w:t>
      </w:r>
      <w:r w:rsidRPr="009E1129">
        <w:rPr>
          <w:rFonts w:ascii="Bookman Old Style" w:hAnsi="Bookman Old Style"/>
          <w:b/>
          <w:bCs/>
          <w:i/>
          <w:iCs/>
          <w:sz w:val="26"/>
          <w:szCs w:val="26"/>
          <w:lang w:val="el-GR"/>
        </w:rPr>
        <w:t>(2006) 1 Α.Α.Δ. 464</w:t>
      </w:r>
      <w:r w:rsidRPr="009E1129">
        <w:rPr>
          <w:rFonts w:ascii="Bookman Old Style" w:hAnsi="Bookman Old Style"/>
          <w:i/>
          <w:iCs/>
          <w:sz w:val="26"/>
          <w:szCs w:val="26"/>
          <w:lang w:val="el-GR"/>
        </w:rPr>
        <w:t>)</w:t>
      </w:r>
      <w:r w:rsidRPr="009E1129">
        <w:rPr>
          <w:rFonts w:ascii="Bookman Old Style" w:hAnsi="Bookman Old Style"/>
          <w:sz w:val="26"/>
          <w:szCs w:val="26"/>
          <w:lang w:val="el-GR"/>
        </w:rPr>
        <w:t>.»</w:t>
      </w:r>
    </w:p>
    <w:p w14:paraId="4E7D902B" w14:textId="77777777" w:rsidR="0094431A" w:rsidRPr="009E1129" w:rsidRDefault="0094431A" w:rsidP="00C570FB">
      <w:pPr>
        <w:spacing w:line="276" w:lineRule="auto"/>
        <w:ind w:left="426" w:right="-34"/>
        <w:jc w:val="both"/>
        <w:rPr>
          <w:rFonts w:ascii="Bookman Old Style" w:hAnsi="Bookman Old Style"/>
          <w:sz w:val="26"/>
          <w:szCs w:val="26"/>
          <w:lang w:val="el-GR"/>
        </w:rPr>
      </w:pPr>
    </w:p>
    <w:p w14:paraId="3D4BDA2B" w14:textId="77777777" w:rsidR="00D91562" w:rsidRPr="009E1129" w:rsidRDefault="00D91562" w:rsidP="00C570FB">
      <w:pPr>
        <w:spacing w:line="276" w:lineRule="auto"/>
        <w:ind w:left="426" w:right="-34"/>
        <w:jc w:val="both"/>
        <w:rPr>
          <w:rFonts w:ascii="Bookman Old Style" w:hAnsi="Bookman Old Style"/>
          <w:sz w:val="26"/>
          <w:szCs w:val="26"/>
          <w:lang w:val="el-GR"/>
        </w:rPr>
      </w:pPr>
    </w:p>
    <w:p w14:paraId="13A555C5" w14:textId="1D04A3A6" w:rsidR="00D91562" w:rsidRPr="009E1129" w:rsidRDefault="00D91562" w:rsidP="00C570FB">
      <w:pPr>
        <w:spacing w:line="480" w:lineRule="auto"/>
        <w:ind w:right="-34"/>
        <w:jc w:val="both"/>
        <w:rPr>
          <w:rFonts w:ascii="Bookman Old Style" w:hAnsi="Bookman Old Style"/>
          <w:sz w:val="28"/>
          <w:szCs w:val="28"/>
          <w:lang w:val="el-GR"/>
        </w:rPr>
      </w:pPr>
      <w:r w:rsidRPr="009E1129">
        <w:rPr>
          <w:rFonts w:ascii="Bookman Old Style" w:hAnsi="Bookman Old Style"/>
          <w:sz w:val="28"/>
          <w:szCs w:val="28"/>
          <w:lang w:val="el-GR"/>
        </w:rPr>
        <w:t>Είναι επίσης νομολογημένο ότι ο έλεγχος σε ζητήματα ενταλμάτων έρευνας λαμβάνει χώρα - και είναι η μόνη οδός - μέσω προνομιακών ενταλμάτων με στόχευση, βεβαίως, τη νομιμότητα της διαδικασίας έκδοσης τους (</w:t>
      </w:r>
      <w:r w:rsidRPr="009E1129">
        <w:rPr>
          <w:rFonts w:ascii="Bookman Old Style" w:hAnsi="Bookman Old Style"/>
          <w:b/>
          <w:bCs/>
          <w:i/>
          <w:iCs/>
          <w:sz w:val="28"/>
          <w:szCs w:val="28"/>
          <w:lang w:val="el-GR"/>
        </w:rPr>
        <w:t xml:space="preserve">Σιακαλλή (Αρ. 1) (2001) 1 Α.Α.Δ. 282 </w:t>
      </w:r>
      <w:r w:rsidRPr="009E1129">
        <w:rPr>
          <w:rFonts w:ascii="Bookman Old Style" w:hAnsi="Bookman Old Style"/>
          <w:sz w:val="28"/>
          <w:szCs w:val="28"/>
          <w:lang w:val="el-GR"/>
        </w:rPr>
        <w:t>και</w:t>
      </w:r>
      <w:r w:rsidRPr="009E1129">
        <w:rPr>
          <w:rFonts w:ascii="Bookman Old Style" w:hAnsi="Bookman Old Style"/>
          <w:b/>
          <w:bCs/>
          <w:i/>
          <w:iCs/>
          <w:sz w:val="28"/>
          <w:szCs w:val="28"/>
          <w:lang w:val="el-GR"/>
        </w:rPr>
        <w:t xml:space="preserve"> Αναφορικά με την Αίτηση του Κληρίδη, Πολιτική Αίτηση Αρ. 172/2021, ημερ. 13/9/2021</w:t>
      </w:r>
      <w:r w:rsidRPr="009E1129">
        <w:rPr>
          <w:rFonts w:ascii="Bookman Old Style" w:hAnsi="Bookman Old Style"/>
          <w:sz w:val="28"/>
          <w:szCs w:val="28"/>
          <w:lang w:val="el-GR"/>
        </w:rPr>
        <w:t xml:space="preserve">). Το </w:t>
      </w:r>
      <w:r w:rsidRPr="00D91562">
        <w:rPr>
          <w:rFonts w:ascii="Bookman Old Style" w:hAnsi="Bookman Old Style"/>
          <w:i/>
          <w:iCs/>
          <w:sz w:val="28"/>
          <w:szCs w:val="28"/>
          <w:lang w:val="en-US"/>
        </w:rPr>
        <w:t>Certiorari</w:t>
      </w:r>
      <w:r w:rsidRPr="00D91562">
        <w:rPr>
          <w:rFonts w:ascii="Bookman Old Style" w:hAnsi="Bookman Old Style"/>
          <w:i/>
          <w:iCs/>
          <w:sz w:val="28"/>
          <w:szCs w:val="28"/>
          <w:lang w:val="el-GR"/>
        </w:rPr>
        <w:t xml:space="preserve"> </w:t>
      </w:r>
      <w:r w:rsidRPr="009E1129">
        <w:rPr>
          <w:rFonts w:ascii="Bookman Old Style" w:hAnsi="Bookman Old Style"/>
          <w:sz w:val="28"/>
          <w:szCs w:val="28"/>
          <w:lang w:val="el-GR"/>
        </w:rPr>
        <w:t>ως δραστικό μέτρο αναχαιτίζει στη ρίζα του το διάταγμα που εκδόθηκε αν προκύπτει έλλειψη νομιμοποίησης προς έκδοση του (</w:t>
      </w:r>
      <w:r w:rsidRPr="009E1129">
        <w:rPr>
          <w:rFonts w:ascii="Bookman Old Style" w:hAnsi="Bookman Old Style"/>
          <w:b/>
          <w:bCs/>
          <w:i/>
          <w:iCs/>
          <w:sz w:val="28"/>
          <w:szCs w:val="28"/>
          <w:lang w:val="el-GR"/>
        </w:rPr>
        <w:t>Αναφορικά με την Αίτηση του Αρτέμη Κκολού, Πολιτική Αίτηση Αρ. 1/2017, ημερ. 31/1/2017</w:t>
      </w:r>
      <w:r w:rsidRPr="009E1129">
        <w:rPr>
          <w:rFonts w:ascii="Bookman Old Style" w:hAnsi="Bookman Old Style"/>
          <w:sz w:val="28"/>
          <w:szCs w:val="28"/>
          <w:lang w:val="el-GR"/>
        </w:rPr>
        <w:t>).</w:t>
      </w:r>
    </w:p>
    <w:p w14:paraId="2556EBD9" w14:textId="77777777" w:rsidR="002B585F" w:rsidRPr="009E1129" w:rsidRDefault="002B585F" w:rsidP="008E4CC4">
      <w:pPr>
        <w:spacing w:line="480" w:lineRule="auto"/>
        <w:ind w:right="-35"/>
        <w:jc w:val="both"/>
        <w:rPr>
          <w:rFonts w:ascii="Bookman Old Style" w:hAnsi="Bookman Old Style"/>
          <w:sz w:val="28"/>
          <w:szCs w:val="28"/>
          <w:lang w:val="el-GR"/>
        </w:rPr>
      </w:pPr>
    </w:p>
    <w:p w14:paraId="48D81B9E" w14:textId="77777777" w:rsidR="00D91562" w:rsidRPr="009E1129" w:rsidRDefault="00D91562" w:rsidP="008E4CC4">
      <w:pPr>
        <w:spacing w:line="480" w:lineRule="auto"/>
        <w:ind w:right="-35"/>
        <w:jc w:val="both"/>
        <w:rPr>
          <w:rFonts w:ascii="Bookman Old Style" w:hAnsi="Bookman Old Style"/>
          <w:i/>
          <w:iCs/>
          <w:sz w:val="28"/>
          <w:szCs w:val="28"/>
          <w:lang w:val="el-GR"/>
        </w:rPr>
      </w:pPr>
      <w:r w:rsidRPr="009E1129">
        <w:rPr>
          <w:rFonts w:ascii="Bookman Old Style" w:hAnsi="Bookman Old Style"/>
          <w:sz w:val="28"/>
          <w:szCs w:val="28"/>
          <w:lang w:val="el-GR"/>
        </w:rPr>
        <w:t xml:space="preserve">Το απαραβίαστο της κατοικίας διασφαλίζεται από το </w:t>
      </w:r>
      <w:r w:rsidRPr="009E1129">
        <w:rPr>
          <w:rFonts w:ascii="Bookman Old Style" w:hAnsi="Bookman Old Style"/>
          <w:b/>
          <w:bCs/>
          <w:sz w:val="28"/>
          <w:szCs w:val="28"/>
          <w:lang w:val="el-GR"/>
        </w:rPr>
        <w:t>Άρθρο 16.1</w:t>
      </w:r>
      <w:r w:rsidRPr="009E1129">
        <w:rPr>
          <w:rFonts w:ascii="Bookman Old Style" w:hAnsi="Bookman Old Style"/>
          <w:sz w:val="28"/>
          <w:szCs w:val="28"/>
          <w:lang w:val="el-GR"/>
        </w:rPr>
        <w:t xml:space="preserve"> του Συντάγματος, το οποίο διαλαμβάνει ότι η είσοδος ή έρευνα εντός της κατοικίας δεν επιτρέπεται. Επιτρέπεται μόνο για τους συγκεκριμένους λόγους που παρατίθενται στο </w:t>
      </w:r>
      <w:r w:rsidRPr="009E1129">
        <w:rPr>
          <w:rFonts w:ascii="Bookman Old Style" w:hAnsi="Bookman Old Style"/>
          <w:b/>
          <w:bCs/>
          <w:sz w:val="28"/>
          <w:szCs w:val="28"/>
          <w:lang w:val="el-GR"/>
        </w:rPr>
        <w:t>εδάφιο (2)</w:t>
      </w:r>
      <w:r w:rsidRPr="009E1129">
        <w:rPr>
          <w:rFonts w:ascii="Bookman Old Style" w:hAnsi="Bookman Old Style"/>
          <w:sz w:val="28"/>
          <w:szCs w:val="28"/>
          <w:lang w:val="el-GR"/>
        </w:rPr>
        <w:t xml:space="preserve"> </w:t>
      </w:r>
      <w:r w:rsidRPr="000B261A">
        <w:rPr>
          <w:rFonts w:ascii="Bookman Old Style" w:hAnsi="Bookman Old Style"/>
          <w:b/>
          <w:bCs/>
          <w:sz w:val="28"/>
          <w:szCs w:val="28"/>
          <w:lang w:val="el-GR"/>
        </w:rPr>
        <w:t>του</w:t>
      </w:r>
      <w:r w:rsidRPr="009E1129">
        <w:rPr>
          <w:rFonts w:ascii="Bookman Old Style" w:hAnsi="Bookman Old Style"/>
          <w:sz w:val="28"/>
          <w:szCs w:val="28"/>
          <w:lang w:val="el-GR"/>
        </w:rPr>
        <w:t xml:space="preserve"> </w:t>
      </w:r>
      <w:r w:rsidRPr="009E1129">
        <w:rPr>
          <w:rFonts w:ascii="Bookman Old Style" w:hAnsi="Bookman Old Style"/>
          <w:b/>
          <w:bCs/>
          <w:sz w:val="28"/>
          <w:szCs w:val="28"/>
          <w:lang w:val="el-GR"/>
        </w:rPr>
        <w:t>Άρθρου 16</w:t>
      </w:r>
      <w:r w:rsidRPr="009E1129">
        <w:rPr>
          <w:rFonts w:ascii="Bookman Old Style" w:hAnsi="Bookman Old Style"/>
          <w:sz w:val="28"/>
          <w:szCs w:val="28"/>
          <w:lang w:val="el-GR"/>
        </w:rPr>
        <w:t xml:space="preserve"> του Συντάγματος «</w:t>
      </w:r>
      <w:r w:rsidRPr="009E1129">
        <w:rPr>
          <w:rFonts w:ascii="Bookman Old Style" w:hAnsi="Bookman Old Style"/>
          <w:i/>
          <w:iCs/>
          <w:sz w:val="28"/>
          <w:szCs w:val="28"/>
          <w:lang w:val="el-GR"/>
        </w:rPr>
        <w:t>ειμή ότε και όπως ο νόμος ορίζη και κατόπιν δικαστικού εντάλματος δεόντως ητιολογημένου».</w:t>
      </w:r>
    </w:p>
    <w:p w14:paraId="06259A40" w14:textId="77777777" w:rsidR="002B585F" w:rsidRPr="009E1129" w:rsidRDefault="002B585F" w:rsidP="008E4CC4">
      <w:pPr>
        <w:spacing w:line="480" w:lineRule="auto"/>
        <w:ind w:right="-35"/>
        <w:jc w:val="both"/>
        <w:rPr>
          <w:rFonts w:ascii="Bookman Old Style" w:hAnsi="Bookman Old Style"/>
          <w:sz w:val="28"/>
          <w:szCs w:val="28"/>
          <w:lang w:val="el-GR"/>
        </w:rPr>
      </w:pPr>
    </w:p>
    <w:p w14:paraId="43B6CE37" w14:textId="6C34E6B2" w:rsidR="00D91562" w:rsidRPr="009E1129" w:rsidRDefault="00D91562" w:rsidP="008E4CC4">
      <w:pPr>
        <w:spacing w:line="480" w:lineRule="auto"/>
        <w:ind w:right="-35"/>
        <w:jc w:val="both"/>
        <w:rPr>
          <w:rFonts w:ascii="Bookman Old Style" w:hAnsi="Bookman Old Style"/>
          <w:sz w:val="28"/>
          <w:szCs w:val="28"/>
          <w:lang w:val="el-GR"/>
        </w:rPr>
      </w:pPr>
      <w:r w:rsidRPr="009E1129">
        <w:rPr>
          <w:rFonts w:ascii="Bookman Old Style" w:hAnsi="Bookman Old Style"/>
          <w:sz w:val="28"/>
          <w:szCs w:val="28"/>
          <w:lang w:val="el-GR"/>
        </w:rPr>
        <w:t xml:space="preserve">Όπως έχει τονισθεί στην υπόθεση </w:t>
      </w:r>
      <w:r w:rsidRPr="009E1129">
        <w:rPr>
          <w:rFonts w:ascii="Bookman Old Style" w:hAnsi="Bookman Old Style"/>
          <w:b/>
          <w:bCs/>
          <w:i/>
          <w:iCs/>
          <w:sz w:val="28"/>
          <w:szCs w:val="28"/>
          <w:lang w:val="el-GR"/>
        </w:rPr>
        <w:t>«Σύνδεσμος για Πρόληψη της Βίας στα Γήπεδα» (1997) 1(Β) Α.Α.Δ. 1014</w:t>
      </w:r>
      <w:r w:rsidRPr="009E1129">
        <w:rPr>
          <w:rFonts w:ascii="Bookman Old Style" w:hAnsi="Bookman Old Style"/>
          <w:sz w:val="28"/>
          <w:szCs w:val="28"/>
          <w:lang w:val="el-GR"/>
        </w:rPr>
        <w:t xml:space="preserve">, ένα ένταλμα έρευνας στοχεύει στην ανεύρεση και κατάσχεση πραγμάτων. Προκειμένου δε να εκδοθεί ένταλμα έρευνας με βάση το </w:t>
      </w:r>
      <w:r w:rsidRPr="009E1129">
        <w:rPr>
          <w:rFonts w:ascii="Bookman Old Style" w:hAnsi="Bookman Old Style"/>
          <w:b/>
          <w:bCs/>
          <w:sz w:val="28"/>
          <w:szCs w:val="28"/>
          <w:lang w:val="el-GR"/>
        </w:rPr>
        <w:t>Άρθρο 27</w:t>
      </w:r>
      <w:r w:rsidRPr="009E1129">
        <w:rPr>
          <w:rFonts w:ascii="Bookman Old Style" w:hAnsi="Bookman Old Style"/>
          <w:sz w:val="28"/>
          <w:szCs w:val="28"/>
          <w:lang w:val="el-GR"/>
        </w:rPr>
        <w:t xml:space="preserve"> </w:t>
      </w:r>
      <w:r w:rsidRPr="000B261A">
        <w:rPr>
          <w:rFonts w:ascii="Bookman Old Style" w:hAnsi="Bookman Old Style"/>
          <w:b/>
          <w:bCs/>
          <w:sz w:val="28"/>
          <w:szCs w:val="28"/>
          <w:lang w:val="el-GR"/>
        </w:rPr>
        <w:t>του</w:t>
      </w:r>
      <w:r w:rsidRPr="009E1129">
        <w:rPr>
          <w:rFonts w:ascii="Bookman Old Style" w:hAnsi="Bookman Old Style"/>
          <w:sz w:val="28"/>
          <w:szCs w:val="28"/>
          <w:lang w:val="el-GR"/>
        </w:rPr>
        <w:t xml:space="preserve"> </w:t>
      </w:r>
      <w:r w:rsidRPr="009E1129">
        <w:rPr>
          <w:rFonts w:ascii="Bookman Old Style" w:hAnsi="Bookman Old Style"/>
          <w:b/>
          <w:bCs/>
          <w:sz w:val="28"/>
          <w:szCs w:val="28"/>
          <w:lang w:val="el-GR"/>
        </w:rPr>
        <w:t>Κεφ.</w:t>
      </w:r>
      <w:r w:rsidR="000B261A">
        <w:rPr>
          <w:rFonts w:ascii="Bookman Old Style" w:hAnsi="Bookman Old Style"/>
          <w:b/>
          <w:bCs/>
          <w:sz w:val="28"/>
          <w:szCs w:val="28"/>
          <w:lang w:val="el-GR"/>
        </w:rPr>
        <w:t xml:space="preserve"> </w:t>
      </w:r>
      <w:r w:rsidRPr="009E1129">
        <w:rPr>
          <w:rFonts w:ascii="Bookman Old Style" w:hAnsi="Bookman Old Style"/>
          <w:b/>
          <w:bCs/>
          <w:sz w:val="28"/>
          <w:szCs w:val="28"/>
          <w:lang w:val="el-GR"/>
        </w:rPr>
        <w:t>155</w:t>
      </w:r>
      <w:r w:rsidRPr="009E1129">
        <w:rPr>
          <w:rFonts w:ascii="Bookman Old Style" w:hAnsi="Bookman Old Style"/>
          <w:sz w:val="28"/>
          <w:szCs w:val="28"/>
          <w:lang w:val="el-GR"/>
        </w:rPr>
        <w:t>, θα πρέπει να στοιχειοθετηθεί η ύπαρξη εύλογης αιτίας συναρτημένης προς τα αντικείμενα για τα οποία επιδιώκεται η ανεύρεση ώστε να τεκμηριώνεται η απαραίτητη προϋπόθεση δικαιοδοτικής φύσεως.</w:t>
      </w:r>
    </w:p>
    <w:p w14:paraId="5B235A1E" w14:textId="77777777" w:rsidR="002B585F" w:rsidRPr="009E1129" w:rsidRDefault="002B585F" w:rsidP="008E4CC4">
      <w:pPr>
        <w:spacing w:line="480" w:lineRule="auto"/>
        <w:ind w:right="-35"/>
        <w:jc w:val="both"/>
        <w:rPr>
          <w:rFonts w:ascii="Bookman Old Style" w:hAnsi="Bookman Old Style"/>
          <w:sz w:val="28"/>
          <w:szCs w:val="28"/>
          <w:lang w:val="el-GR"/>
        </w:rPr>
      </w:pPr>
    </w:p>
    <w:p w14:paraId="654DA96D" w14:textId="77777777" w:rsidR="00D91562" w:rsidRPr="009E1129" w:rsidRDefault="00D91562" w:rsidP="008E4CC4">
      <w:pPr>
        <w:spacing w:line="480" w:lineRule="auto"/>
        <w:ind w:right="-35"/>
        <w:jc w:val="both"/>
        <w:rPr>
          <w:rFonts w:ascii="Bookman Old Style" w:hAnsi="Bookman Old Style"/>
          <w:sz w:val="28"/>
          <w:szCs w:val="28"/>
          <w:lang w:val="el-GR"/>
        </w:rPr>
      </w:pPr>
      <w:r w:rsidRPr="009E1129">
        <w:rPr>
          <w:rFonts w:ascii="Bookman Old Style" w:hAnsi="Bookman Old Style"/>
          <w:sz w:val="28"/>
          <w:szCs w:val="28"/>
          <w:lang w:val="el-GR"/>
        </w:rPr>
        <w:t>Η δικαιοδοσία για έκδοση εντάλματος έρευνας για ανεύρεση και κατάσχεση «</w:t>
      </w:r>
      <w:r w:rsidRPr="009E1129">
        <w:rPr>
          <w:rFonts w:ascii="Bookman Old Style" w:hAnsi="Bookman Old Style"/>
          <w:i/>
          <w:iCs/>
          <w:sz w:val="28"/>
          <w:szCs w:val="28"/>
          <w:lang w:val="el-GR"/>
        </w:rPr>
        <w:t>τέτοιων πραγμάτων</w:t>
      </w:r>
      <w:r w:rsidRPr="009E1129">
        <w:rPr>
          <w:rFonts w:ascii="Bookman Old Style" w:hAnsi="Bookman Old Style"/>
          <w:sz w:val="28"/>
          <w:szCs w:val="28"/>
          <w:lang w:val="el-GR"/>
        </w:rPr>
        <w:t>», ενεργοποιείται όταν υπάρχει εύλογη αιτία πως σε οποιοδήποτε τόπο υπάρχει:</w:t>
      </w:r>
    </w:p>
    <w:p w14:paraId="0BCD627F" w14:textId="77777777" w:rsidR="00CF67DC" w:rsidRPr="009E1129" w:rsidRDefault="00CF67DC" w:rsidP="008E4CC4">
      <w:pPr>
        <w:spacing w:line="480" w:lineRule="auto"/>
        <w:ind w:right="-35"/>
        <w:jc w:val="both"/>
        <w:rPr>
          <w:rFonts w:ascii="Bookman Old Style" w:hAnsi="Bookman Old Style"/>
          <w:sz w:val="28"/>
          <w:szCs w:val="28"/>
          <w:lang w:val="el-GR"/>
        </w:rPr>
      </w:pPr>
    </w:p>
    <w:p w14:paraId="42814690" w14:textId="038361C5" w:rsidR="00D91562" w:rsidRPr="009E1129" w:rsidRDefault="00D91562" w:rsidP="00C570FB">
      <w:pPr>
        <w:pStyle w:val="ListParagraph"/>
        <w:numPr>
          <w:ilvl w:val="0"/>
          <w:numId w:val="19"/>
        </w:numPr>
        <w:spacing w:line="276" w:lineRule="auto"/>
        <w:ind w:left="805" w:right="-34" w:hanging="357"/>
        <w:jc w:val="both"/>
        <w:rPr>
          <w:rFonts w:ascii="Bookman Old Style" w:hAnsi="Bookman Old Style"/>
          <w:sz w:val="28"/>
          <w:szCs w:val="28"/>
          <w:lang w:val="el-GR"/>
        </w:rPr>
      </w:pPr>
      <w:r w:rsidRPr="009E1129">
        <w:rPr>
          <w:rFonts w:ascii="Bookman Old Style" w:hAnsi="Bookman Old Style"/>
          <w:sz w:val="28"/>
          <w:szCs w:val="28"/>
          <w:lang w:val="el-GR"/>
        </w:rPr>
        <w:t>«</w:t>
      </w:r>
      <w:r w:rsidRPr="009E1129">
        <w:rPr>
          <w:rFonts w:ascii="Bookman Old Style" w:hAnsi="Bookman Old Style"/>
          <w:i/>
          <w:iCs/>
          <w:sz w:val="28"/>
          <w:szCs w:val="28"/>
          <w:lang w:val="el-GR"/>
        </w:rPr>
        <w:t>οτιδήποτε στο οποίο ή σε σχέση με το οποίο διαπράχθηκε ποινικό αδίκημα ή υπάρχει υποψία ότι διαπράχθηκε ή</w:t>
      </w:r>
    </w:p>
    <w:p w14:paraId="766406D6" w14:textId="48E70D35" w:rsidR="00D91562" w:rsidRPr="009E1129" w:rsidRDefault="00D91562" w:rsidP="00C570FB">
      <w:pPr>
        <w:pStyle w:val="ListParagraph"/>
        <w:numPr>
          <w:ilvl w:val="0"/>
          <w:numId w:val="19"/>
        </w:numPr>
        <w:spacing w:line="276" w:lineRule="auto"/>
        <w:ind w:left="805" w:right="-34" w:hanging="357"/>
        <w:jc w:val="both"/>
        <w:rPr>
          <w:rFonts w:ascii="Bookman Old Style" w:hAnsi="Bookman Old Style"/>
          <w:sz w:val="28"/>
          <w:szCs w:val="28"/>
          <w:lang w:val="el-GR"/>
        </w:rPr>
      </w:pPr>
      <w:r w:rsidRPr="009E1129">
        <w:rPr>
          <w:rFonts w:ascii="Bookman Old Style" w:hAnsi="Bookman Old Style"/>
          <w:i/>
          <w:iCs/>
          <w:sz w:val="28"/>
          <w:szCs w:val="28"/>
          <w:lang w:val="el-GR"/>
        </w:rPr>
        <w:t>οτιδήποτε για το οποίο υπάρχει εύλογη αιτία να πιστεύεται ότι θα παρέχει απόδειξη ως προς τη διάπραξη ποινικού αδικήματος ή</w:t>
      </w:r>
    </w:p>
    <w:p w14:paraId="76672DF5" w14:textId="090BC08A" w:rsidR="00D91562" w:rsidRDefault="00D91562" w:rsidP="00C570FB">
      <w:pPr>
        <w:pStyle w:val="ListParagraph"/>
        <w:numPr>
          <w:ilvl w:val="0"/>
          <w:numId w:val="19"/>
        </w:numPr>
        <w:spacing w:line="276" w:lineRule="auto"/>
        <w:ind w:left="805" w:right="-34" w:hanging="357"/>
        <w:jc w:val="both"/>
        <w:rPr>
          <w:rFonts w:ascii="Bookman Old Style" w:hAnsi="Bookman Old Style"/>
          <w:sz w:val="28"/>
          <w:szCs w:val="28"/>
          <w:lang w:val="el-GR"/>
        </w:rPr>
      </w:pPr>
      <w:r w:rsidRPr="009E1129">
        <w:rPr>
          <w:rFonts w:ascii="Bookman Old Style" w:hAnsi="Bookman Old Style"/>
          <w:i/>
          <w:iCs/>
          <w:sz w:val="28"/>
          <w:szCs w:val="28"/>
          <w:lang w:val="el-GR"/>
        </w:rPr>
        <w:t>οτιδήποτε για το οποίο υπάρχει εύλογη αιτία να πιστεύεται ότι προορίζεται να χρησιμοποιηθεί για το σκοπό διάπραξης ποινικού αδικήματος</w:t>
      </w:r>
      <w:r w:rsidRPr="009E1129">
        <w:rPr>
          <w:rFonts w:ascii="Bookman Old Style" w:hAnsi="Bookman Old Style"/>
          <w:sz w:val="28"/>
          <w:szCs w:val="28"/>
          <w:lang w:val="el-GR"/>
        </w:rPr>
        <w:t>.»</w:t>
      </w:r>
      <w:bookmarkStart w:id="3" w:name="_ftnref1"/>
      <w:r w:rsidR="002B585F">
        <w:rPr>
          <w:rStyle w:val="FootnoteReference"/>
          <w:rFonts w:ascii="Bookman Old Style" w:hAnsi="Bookman Old Style"/>
          <w:sz w:val="28"/>
          <w:szCs w:val="28"/>
        </w:rPr>
        <w:footnoteReference w:id="1"/>
      </w:r>
      <w:bookmarkEnd w:id="3"/>
      <w:r w:rsidR="002B585F" w:rsidRPr="009E1129">
        <w:rPr>
          <w:rFonts w:ascii="Bookman Old Style" w:hAnsi="Bookman Old Style"/>
          <w:sz w:val="28"/>
          <w:szCs w:val="28"/>
          <w:lang w:val="el-GR"/>
        </w:rPr>
        <w:t xml:space="preserve"> </w:t>
      </w:r>
    </w:p>
    <w:p w14:paraId="41490423" w14:textId="77777777" w:rsidR="003A4838" w:rsidRPr="009E1129" w:rsidRDefault="003A4838" w:rsidP="003A4838">
      <w:pPr>
        <w:pStyle w:val="ListParagraph"/>
        <w:spacing w:line="276" w:lineRule="auto"/>
        <w:ind w:left="805" w:right="-34"/>
        <w:jc w:val="both"/>
        <w:rPr>
          <w:rFonts w:ascii="Bookman Old Style" w:hAnsi="Bookman Old Style"/>
          <w:sz w:val="28"/>
          <w:szCs w:val="28"/>
          <w:lang w:val="el-GR"/>
        </w:rPr>
      </w:pPr>
    </w:p>
    <w:p w14:paraId="07B1D4B9" w14:textId="77777777" w:rsidR="002B585F" w:rsidRPr="009E1129" w:rsidRDefault="002B585F" w:rsidP="008E4CC4">
      <w:pPr>
        <w:pStyle w:val="ListParagraph"/>
        <w:spacing w:line="360" w:lineRule="auto"/>
        <w:ind w:left="810" w:right="-35"/>
        <w:jc w:val="both"/>
        <w:rPr>
          <w:rFonts w:ascii="Bookman Old Style" w:hAnsi="Bookman Old Style"/>
          <w:sz w:val="28"/>
          <w:szCs w:val="28"/>
          <w:lang w:val="el-GR"/>
        </w:rPr>
      </w:pPr>
    </w:p>
    <w:p w14:paraId="335AA480" w14:textId="1FE91EBC" w:rsidR="00D91562" w:rsidRPr="009E1129" w:rsidRDefault="00D91562" w:rsidP="00153CBA">
      <w:pPr>
        <w:spacing w:line="480" w:lineRule="auto"/>
        <w:ind w:right="-35"/>
        <w:jc w:val="both"/>
        <w:rPr>
          <w:rFonts w:ascii="Bookman Old Style" w:hAnsi="Bookman Old Style"/>
          <w:sz w:val="28"/>
          <w:szCs w:val="28"/>
          <w:lang w:val="el-GR"/>
        </w:rPr>
      </w:pPr>
      <w:r w:rsidRPr="009E1129">
        <w:rPr>
          <w:rFonts w:ascii="Bookman Old Style" w:hAnsi="Bookman Old Style"/>
          <w:sz w:val="28"/>
          <w:szCs w:val="28"/>
          <w:lang w:val="el-GR"/>
        </w:rPr>
        <w:t>Οι εν λόγω νομοθετικές πρόνοιες αποσκοπούν στο να βοηθήσουν στην απονομή της δικαιοσύνης επιτρέποντας στην Αστυνομία να εισέλθει στα υποστατικά που υποδεικνύονται στο αίτημα, με σκοπό την ανεύρεση αντικειμένου ή αντικειμένων τα οποία συνδέονται με τη διάπραξη συγκεκριμένων ποινικών αδικημάτων με τους διάφορους τρόπους που καταγράφονται στο Νόμο.</w:t>
      </w:r>
    </w:p>
    <w:p w14:paraId="432DC574" w14:textId="77777777" w:rsidR="002B585F" w:rsidRPr="009E1129" w:rsidRDefault="002B585F" w:rsidP="00153CBA">
      <w:pPr>
        <w:spacing w:line="480" w:lineRule="auto"/>
        <w:ind w:right="-35"/>
        <w:jc w:val="both"/>
        <w:rPr>
          <w:rFonts w:ascii="Bookman Old Style" w:hAnsi="Bookman Old Style"/>
          <w:sz w:val="28"/>
          <w:szCs w:val="28"/>
          <w:lang w:val="el-GR"/>
        </w:rPr>
      </w:pPr>
    </w:p>
    <w:p w14:paraId="4EB8B7F6" w14:textId="2BBEF384" w:rsidR="00D91562" w:rsidRPr="009E1129" w:rsidRDefault="00D91562" w:rsidP="008E4CC4">
      <w:pPr>
        <w:spacing w:line="480" w:lineRule="auto"/>
        <w:ind w:right="-35"/>
        <w:jc w:val="both"/>
        <w:rPr>
          <w:rFonts w:ascii="Bookman Old Style" w:hAnsi="Bookman Old Style"/>
          <w:sz w:val="28"/>
          <w:szCs w:val="28"/>
          <w:lang w:val="el-GR"/>
        </w:rPr>
      </w:pPr>
      <w:r w:rsidRPr="009E1129">
        <w:rPr>
          <w:rFonts w:ascii="Bookman Old Style" w:hAnsi="Bookman Old Style"/>
          <w:sz w:val="28"/>
          <w:szCs w:val="28"/>
          <w:lang w:val="el-GR"/>
        </w:rPr>
        <w:t xml:space="preserve">Το </w:t>
      </w:r>
      <w:r w:rsidRPr="009E1129">
        <w:rPr>
          <w:rFonts w:ascii="Bookman Old Style" w:hAnsi="Bookman Old Style"/>
          <w:b/>
          <w:bCs/>
          <w:sz w:val="28"/>
          <w:szCs w:val="28"/>
          <w:lang w:val="el-GR"/>
        </w:rPr>
        <w:t>Άρθρο 27</w:t>
      </w:r>
      <w:r w:rsidRPr="009E1129">
        <w:rPr>
          <w:rFonts w:ascii="Bookman Old Style" w:hAnsi="Bookman Old Style"/>
          <w:sz w:val="28"/>
          <w:szCs w:val="28"/>
          <w:lang w:val="el-GR"/>
        </w:rPr>
        <w:t xml:space="preserve"> </w:t>
      </w:r>
      <w:r w:rsidRPr="000B261A">
        <w:rPr>
          <w:rFonts w:ascii="Bookman Old Style" w:hAnsi="Bookman Old Style"/>
          <w:b/>
          <w:bCs/>
          <w:sz w:val="28"/>
          <w:szCs w:val="28"/>
          <w:lang w:val="el-GR"/>
        </w:rPr>
        <w:t>του</w:t>
      </w:r>
      <w:r w:rsidRPr="009E1129">
        <w:rPr>
          <w:rFonts w:ascii="Bookman Old Style" w:hAnsi="Bookman Old Style"/>
          <w:sz w:val="28"/>
          <w:szCs w:val="28"/>
          <w:lang w:val="el-GR"/>
        </w:rPr>
        <w:t xml:space="preserve"> </w:t>
      </w:r>
      <w:r w:rsidRPr="009E1129">
        <w:rPr>
          <w:rFonts w:ascii="Bookman Old Style" w:hAnsi="Bookman Old Style"/>
          <w:b/>
          <w:bCs/>
          <w:sz w:val="28"/>
          <w:szCs w:val="28"/>
          <w:lang w:val="el-GR"/>
        </w:rPr>
        <w:t>Κεφ.</w:t>
      </w:r>
      <w:r w:rsidR="00813110">
        <w:rPr>
          <w:rFonts w:ascii="Bookman Old Style" w:hAnsi="Bookman Old Style"/>
          <w:b/>
          <w:bCs/>
          <w:sz w:val="28"/>
          <w:szCs w:val="28"/>
          <w:lang w:val="el-GR"/>
        </w:rPr>
        <w:t xml:space="preserve"> </w:t>
      </w:r>
      <w:r w:rsidRPr="009E1129">
        <w:rPr>
          <w:rFonts w:ascii="Bookman Old Style" w:hAnsi="Bookman Old Style"/>
          <w:b/>
          <w:bCs/>
          <w:sz w:val="28"/>
          <w:szCs w:val="28"/>
          <w:lang w:val="el-GR"/>
        </w:rPr>
        <w:t>155</w:t>
      </w:r>
      <w:r w:rsidRPr="009E1129">
        <w:rPr>
          <w:rFonts w:ascii="Bookman Old Style" w:hAnsi="Bookman Old Style"/>
          <w:sz w:val="28"/>
          <w:szCs w:val="28"/>
          <w:lang w:val="el-GR"/>
        </w:rPr>
        <w:t xml:space="preserve"> επιτακτικά συνδέει τα αντικείμενα τα οποία εύλογα πιστεύεται ότι συνδέονται με ποινικό αδίκημα με τον τόπο για τον οποίο ζητείται το ένταλμα και όχι γενικά με το πρόσωπο του υπόπτου</w:t>
      </w:r>
      <w:bookmarkStart w:id="5" w:name="_ftnref2"/>
      <w:r w:rsidR="002B585F">
        <w:rPr>
          <w:rStyle w:val="FootnoteReference"/>
          <w:rFonts w:ascii="Bookman Old Style" w:hAnsi="Bookman Old Style"/>
          <w:sz w:val="28"/>
          <w:szCs w:val="28"/>
        </w:rPr>
        <w:footnoteReference w:id="2"/>
      </w:r>
      <w:r w:rsidR="002B585F">
        <w:rPr>
          <w:rFonts w:ascii="Bookman Old Style" w:hAnsi="Bookman Old Style"/>
          <w:sz w:val="28"/>
          <w:szCs w:val="28"/>
          <w:lang w:val="el-GR"/>
        </w:rPr>
        <w:t xml:space="preserve"> </w:t>
      </w:r>
      <w:bookmarkEnd w:id="5"/>
      <w:r w:rsidRPr="009E1129">
        <w:rPr>
          <w:rFonts w:ascii="Bookman Old Style" w:hAnsi="Bookman Old Style"/>
          <w:sz w:val="28"/>
          <w:szCs w:val="28"/>
          <w:lang w:val="el-GR"/>
        </w:rPr>
        <w:t xml:space="preserve"> (</w:t>
      </w:r>
      <w:r w:rsidRPr="009E1129">
        <w:rPr>
          <w:rFonts w:ascii="Bookman Old Style" w:hAnsi="Bookman Old Style"/>
          <w:b/>
          <w:bCs/>
          <w:i/>
          <w:iCs/>
          <w:sz w:val="28"/>
          <w:szCs w:val="28"/>
          <w:lang w:val="el-GR"/>
        </w:rPr>
        <w:t>ΟΠΑΠ Κύπρου Λτδ, Πολιτική Έφεση Αρ. 133/2018, ημερ. 17/1/2018</w:t>
      </w:r>
      <w:r w:rsidRPr="009E1129">
        <w:rPr>
          <w:rFonts w:ascii="Bookman Old Style" w:hAnsi="Bookman Old Style"/>
          <w:sz w:val="28"/>
          <w:szCs w:val="28"/>
          <w:lang w:val="el-GR"/>
        </w:rPr>
        <w:t>). Με βάση τα διαλαμβανόμενα στο εν λόγω Άρθρο το Δικαστήριο πρέπει να ικανοποιείται πως, με βάση τον Όρκο που τίθεται ενώπιον του, υπάρχει εύλογη αιτία να πιστεύεται ότι στα υποστατικά του Αιτητή υπάρχει οτιδήποτε στο οποίο ή σε σχέση με το οποίο διαπράχθηκε ποινικό αδίκημα ή υπάρχει υποψία ότι διαπράχθηκε ή υπάρχει εύλογη αιτία να πιστεύεται ότι θα παρέχει απόδειξη ως προς τη διάπραξη ποινικού αδικήματος. Η εύλογη υπόνοια είναι του ίδιου του Δικαστή που εκδίδει το ένταλμα, ο οποίος οφείλει να εξαγάγει το δικό του συμπέρασμα με βάση τα γεγονότα όπως αυτά περιέχονται στην ένορκη δήλωση που υποστηρίζει το αίτημα και να αιτιολογήσει δεόντως την έκδοση του εντάλματος έρευνας ικανοποιούμενος από τη μαρτυρία που παρουσιάζεται ενώπιόν του ότι η υποψία είναι εύλογη (</w:t>
      </w:r>
      <w:r w:rsidRPr="009E1129">
        <w:rPr>
          <w:rFonts w:ascii="Bookman Old Style" w:hAnsi="Bookman Old Style"/>
          <w:b/>
          <w:bCs/>
          <w:i/>
          <w:iCs/>
          <w:sz w:val="28"/>
          <w:szCs w:val="28"/>
          <w:lang w:val="el-GR"/>
        </w:rPr>
        <w:t xml:space="preserve">Αναφορικά με την Αίτηση του </w:t>
      </w:r>
      <w:r w:rsidRPr="00D91562">
        <w:rPr>
          <w:rFonts w:ascii="Bookman Old Style" w:hAnsi="Bookman Old Style"/>
          <w:b/>
          <w:bCs/>
          <w:i/>
          <w:iCs/>
          <w:sz w:val="28"/>
          <w:szCs w:val="28"/>
          <w:lang w:val="en-US"/>
        </w:rPr>
        <w:t>Steven</w:t>
      </w:r>
      <w:r w:rsidRPr="00D91562">
        <w:rPr>
          <w:rFonts w:ascii="Bookman Old Style" w:hAnsi="Bookman Old Style"/>
          <w:b/>
          <w:bCs/>
          <w:i/>
          <w:iCs/>
          <w:sz w:val="28"/>
          <w:szCs w:val="28"/>
          <w:lang w:val="el-GR"/>
        </w:rPr>
        <w:t xml:space="preserve"> </w:t>
      </w:r>
      <w:r w:rsidRPr="00D91562">
        <w:rPr>
          <w:rFonts w:ascii="Bookman Old Style" w:hAnsi="Bookman Old Style"/>
          <w:b/>
          <w:bCs/>
          <w:i/>
          <w:iCs/>
          <w:sz w:val="28"/>
          <w:szCs w:val="28"/>
          <w:lang w:val="en-US"/>
        </w:rPr>
        <w:t>James</w:t>
      </w:r>
      <w:r w:rsidRPr="00D91562">
        <w:rPr>
          <w:rFonts w:ascii="Bookman Old Style" w:hAnsi="Bookman Old Style"/>
          <w:b/>
          <w:bCs/>
          <w:i/>
          <w:iCs/>
          <w:sz w:val="28"/>
          <w:szCs w:val="28"/>
          <w:lang w:val="el-GR"/>
        </w:rPr>
        <w:t xml:space="preserve"> </w:t>
      </w:r>
      <w:r w:rsidRPr="00D91562">
        <w:rPr>
          <w:rFonts w:ascii="Bookman Old Style" w:hAnsi="Bookman Old Style"/>
          <w:b/>
          <w:bCs/>
          <w:i/>
          <w:iCs/>
          <w:sz w:val="28"/>
          <w:szCs w:val="28"/>
          <w:lang w:val="en-US"/>
        </w:rPr>
        <w:t>Moran</w:t>
      </w:r>
      <w:r w:rsidRPr="009E1129">
        <w:rPr>
          <w:rFonts w:ascii="Bookman Old Style" w:hAnsi="Bookman Old Style"/>
          <w:b/>
          <w:bCs/>
          <w:i/>
          <w:iCs/>
          <w:sz w:val="28"/>
          <w:szCs w:val="28"/>
          <w:lang w:val="el-GR"/>
        </w:rPr>
        <w:t xml:space="preserve">, Πολιτική Έφεση Αρ. 346/2014, ημερ. 31/3/2016 </w:t>
      </w:r>
      <w:r w:rsidRPr="009E1129">
        <w:rPr>
          <w:rFonts w:ascii="Bookman Old Style" w:hAnsi="Bookman Old Style"/>
          <w:sz w:val="28"/>
          <w:szCs w:val="28"/>
          <w:lang w:val="el-GR"/>
        </w:rPr>
        <w:t xml:space="preserve">και </w:t>
      </w:r>
      <w:r w:rsidRPr="009E1129">
        <w:rPr>
          <w:rFonts w:ascii="Bookman Old Style" w:hAnsi="Bookman Old Style"/>
          <w:b/>
          <w:bCs/>
          <w:i/>
          <w:iCs/>
          <w:sz w:val="28"/>
          <w:szCs w:val="28"/>
          <w:lang w:val="el-GR"/>
        </w:rPr>
        <w:t xml:space="preserve">Ανδρέου </w:t>
      </w:r>
      <w:r w:rsidRPr="00D91562">
        <w:rPr>
          <w:rFonts w:ascii="Bookman Old Style" w:hAnsi="Bookman Old Style"/>
          <w:b/>
          <w:bCs/>
          <w:i/>
          <w:iCs/>
          <w:sz w:val="28"/>
          <w:szCs w:val="28"/>
          <w:lang w:val="en-US"/>
        </w:rPr>
        <w:t>v</w:t>
      </w:r>
      <w:r w:rsidRPr="009E1129">
        <w:rPr>
          <w:rFonts w:ascii="Bookman Old Style" w:hAnsi="Bookman Old Style"/>
          <w:b/>
          <w:bCs/>
          <w:i/>
          <w:iCs/>
          <w:sz w:val="28"/>
          <w:szCs w:val="28"/>
          <w:lang w:val="el-GR"/>
        </w:rPr>
        <w:t>. Κυπριακής Δημοκρατίας, Πολιτική Έφεση Αρ. 103/2020, ημερ. 21/4/2021</w:t>
      </w:r>
      <w:r w:rsidRPr="009E1129">
        <w:rPr>
          <w:rFonts w:ascii="Bookman Old Style" w:hAnsi="Bookman Old Style"/>
          <w:sz w:val="28"/>
          <w:szCs w:val="28"/>
          <w:lang w:val="el-GR"/>
        </w:rPr>
        <w:t xml:space="preserve">). </w:t>
      </w:r>
    </w:p>
    <w:p w14:paraId="4B928243" w14:textId="77777777" w:rsidR="002B585F" w:rsidRPr="009E1129" w:rsidRDefault="002B585F" w:rsidP="008E4CC4">
      <w:pPr>
        <w:spacing w:line="480" w:lineRule="auto"/>
        <w:ind w:right="-35"/>
        <w:jc w:val="both"/>
        <w:rPr>
          <w:rFonts w:ascii="Bookman Old Style" w:hAnsi="Bookman Old Style"/>
          <w:sz w:val="28"/>
          <w:szCs w:val="28"/>
          <w:lang w:val="el-GR"/>
        </w:rPr>
      </w:pPr>
    </w:p>
    <w:p w14:paraId="138DD725" w14:textId="1073E333" w:rsidR="00D91562" w:rsidRPr="009E1129" w:rsidRDefault="00D91562" w:rsidP="008E4CC4">
      <w:pPr>
        <w:spacing w:line="480" w:lineRule="auto"/>
        <w:ind w:right="-35"/>
        <w:jc w:val="both"/>
        <w:rPr>
          <w:rFonts w:ascii="Bookman Old Style" w:hAnsi="Bookman Old Style"/>
          <w:sz w:val="28"/>
          <w:szCs w:val="28"/>
          <w:lang w:val="el-GR"/>
        </w:rPr>
      </w:pPr>
      <w:r w:rsidRPr="009E1129">
        <w:rPr>
          <w:rFonts w:ascii="Bookman Old Style" w:hAnsi="Bookman Old Style"/>
          <w:sz w:val="28"/>
          <w:szCs w:val="28"/>
          <w:lang w:val="el-GR"/>
        </w:rPr>
        <w:t xml:space="preserve">Η αναγκαιότητα προσδιορισμού και διασύνδεσης της έρευνας με συγκεκριμένο τόπο ή χώρο, όπως και με τη διερεύνηση συγκεκριμένου αδικήματος, είναι, επομένως, δεδομένη. </w:t>
      </w:r>
    </w:p>
    <w:p w14:paraId="43836C20" w14:textId="77777777" w:rsidR="00D91562" w:rsidRPr="009E1129" w:rsidRDefault="00D91562" w:rsidP="008E4CC4">
      <w:pPr>
        <w:spacing w:line="480" w:lineRule="auto"/>
        <w:ind w:right="-35"/>
        <w:jc w:val="both"/>
        <w:rPr>
          <w:rFonts w:ascii="Bookman Old Style" w:hAnsi="Bookman Old Style"/>
          <w:sz w:val="28"/>
          <w:szCs w:val="28"/>
          <w:lang w:val="el-GR"/>
        </w:rPr>
      </w:pPr>
      <w:r w:rsidRPr="00D91562">
        <w:rPr>
          <w:rFonts w:ascii="Bookman Old Style" w:hAnsi="Bookman Old Style"/>
          <w:sz w:val="28"/>
          <w:szCs w:val="28"/>
        </w:rPr>
        <w:t> </w:t>
      </w:r>
    </w:p>
    <w:p w14:paraId="7740FB09" w14:textId="4891AC8D" w:rsidR="00075F6F" w:rsidRDefault="00075F6F" w:rsidP="008E4CC4">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Μέσω του </w:t>
      </w:r>
      <w:r w:rsidR="00CB356C" w:rsidRPr="00CB356C">
        <w:rPr>
          <w:rFonts w:ascii="Bookman Old Style" w:hAnsi="Bookman Old Style"/>
          <w:b/>
          <w:bCs/>
          <w:sz w:val="28"/>
          <w:szCs w:val="28"/>
          <w:lang w:val="el-GR"/>
        </w:rPr>
        <w:t>1</w:t>
      </w:r>
      <w:r w:rsidR="00CB356C" w:rsidRPr="00CB356C">
        <w:rPr>
          <w:rFonts w:ascii="Bookman Old Style" w:hAnsi="Bookman Old Style"/>
          <w:b/>
          <w:bCs/>
          <w:sz w:val="28"/>
          <w:szCs w:val="28"/>
          <w:vertAlign w:val="superscript"/>
          <w:lang w:val="el-GR"/>
        </w:rPr>
        <w:t>ου</w:t>
      </w:r>
      <w:r w:rsidR="00CB356C" w:rsidRPr="00CB356C">
        <w:rPr>
          <w:rFonts w:ascii="Bookman Old Style" w:hAnsi="Bookman Old Style"/>
          <w:b/>
          <w:bCs/>
          <w:sz w:val="28"/>
          <w:szCs w:val="28"/>
          <w:lang w:val="el-GR"/>
        </w:rPr>
        <w:t xml:space="preserve"> </w:t>
      </w:r>
      <w:r w:rsidRPr="00075F6F">
        <w:rPr>
          <w:rFonts w:ascii="Bookman Old Style" w:hAnsi="Bookman Old Style"/>
          <w:b/>
          <w:bCs/>
          <w:sz w:val="28"/>
          <w:szCs w:val="28"/>
          <w:lang w:val="el-GR"/>
        </w:rPr>
        <w:t>νομικού Λόγου</w:t>
      </w:r>
      <w:r>
        <w:rPr>
          <w:rFonts w:ascii="Bookman Old Style" w:hAnsi="Bookman Old Style"/>
          <w:sz w:val="28"/>
          <w:szCs w:val="28"/>
          <w:lang w:val="el-GR"/>
        </w:rPr>
        <w:t xml:space="preserve"> προβάλλεται ότι το επίδικο Ένταλμα εκδόθηκε αντίθετα με τις επιταγές των </w:t>
      </w:r>
      <w:r w:rsidRPr="00075F6F">
        <w:rPr>
          <w:rFonts w:ascii="Bookman Old Style" w:hAnsi="Bookman Old Style"/>
          <w:b/>
          <w:bCs/>
          <w:sz w:val="28"/>
          <w:szCs w:val="28"/>
          <w:lang w:val="el-GR"/>
        </w:rPr>
        <w:t>Άρθρων 27</w:t>
      </w:r>
      <w:r>
        <w:rPr>
          <w:rFonts w:ascii="Bookman Old Style" w:hAnsi="Bookman Old Style"/>
          <w:sz w:val="28"/>
          <w:szCs w:val="28"/>
          <w:lang w:val="el-GR"/>
        </w:rPr>
        <w:t xml:space="preserve"> και </w:t>
      </w:r>
      <w:r w:rsidRPr="00075F6F">
        <w:rPr>
          <w:rFonts w:ascii="Bookman Old Style" w:hAnsi="Bookman Old Style"/>
          <w:b/>
          <w:bCs/>
          <w:sz w:val="28"/>
          <w:szCs w:val="28"/>
          <w:lang w:val="el-GR"/>
        </w:rPr>
        <w:t>28</w:t>
      </w:r>
      <w:r>
        <w:rPr>
          <w:rFonts w:ascii="Bookman Old Style" w:hAnsi="Bookman Old Style"/>
          <w:sz w:val="28"/>
          <w:szCs w:val="28"/>
          <w:lang w:val="el-GR"/>
        </w:rPr>
        <w:t xml:space="preserve"> </w:t>
      </w:r>
      <w:r w:rsidRPr="000B261A">
        <w:rPr>
          <w:rFonts w:ascii="Bookman Old Style" w:hAnsi="Bookman Old Style"/>
          <w:b/>
          <w:bCs/>
          <w:sz w:val="28"/>
          <w:szCs w:val="28"/>
          <w:lang w:val="el-GR"/>
        </w:rPr>
        <w:t xml:space="preserve">του </w:t>
      </w:r>
      <w:r w:rsidRPr="00075F6F">
        <w:rPr>
          <w:rFonts w:ascii="Bookman Old Style" w:hAnsi="Bookman Old Style"/>
          <w:b/>
          <w:bCs/>
          <w:sz w:val="28"/>
          <w:szCs w:val="28"/>
          <w:lang w:val="el-GR"/>
        </w:rPr>
        <w:t>Κεφ.</w:t>
      </w:r>
      <w:r w:rsidR="00813110">
        <w:rPr>
          <w:rFonts w:ascii="Bookman Old Style" w:hAnsi="Bookman Old Style"/>
          <w:b/>
          <w:bCs/>
          <w:sz w:val="28"/>
          <w:szCs w:val="28"/>
          <w:lang w:val="el-GR"/>
        </w:rPr>
        <w:t xml:space="preserve"> </w:t>
      </w:r>
      <w:r w:rsidRPr="00075F6F">
        <w:rPr>
          <w:rFonts w:ascii="Bookman Old Style" w:hAnsi="Bookman Old Style"/>
          <w:b/>
          <w:bCs/>
          <w:sz w:val="28"/>
          <w:szCs w:val="28"/>
          <w:lang w:val="el-GR"/>
        </w:rPr>
        <w:t>155</w:t>
      </w:r>
      <w:r>
        <w:rPr>
          <w:rFonts w:ascii="Bookman Old Style" w:hAnsi="Bookman Old Style"/>
          <w:sz w:val="28"/>
          <w:szCs w:val="28"/>
          <w:lang w:val="el-GR"/>
        </w:rPr>
        <w:t xml:space="preserve"> και του </w:t>
      </w:r>
      <w:r w:rsidRPr="00075F6F">
        <w:rPr>
          <w:rFonts w:ascii="Bookman Old Style" w:hAnsi="Bookman Old Style"/>
          <w:b/>
          <w:bCs/>
          <w:sz w:val="28"/>
          <w:szCs w:val="28"/>
          <w:lang w:val="el-GR"/>
        </w:rPr>
        <w:t>Άρθρου 16</w:t>
      </w:r>
      <w:r>
        <w:rPr>
          <w:rFonts w:ascii="Bookman Old Style" w:hAnsi="Bookman Old Style"/>
          <w:sz w:val="28"/>
          <w:szCs w:val="28"/>
          <w:lang w:val="el-GR"/>
        </w:rPr>
        <w:t xml:space="preserve"> </w:t>
      </w:r>
      <w:r w:rsidRPr="000B261A">
        <w:rPr>
          <w:rFonts w:ascii="Bookman Old Style" w:hAnsi="Bookman Old Style"/>
          <w:b/>
          <w:bCs/>
          <w:sz w:val="28"/>
          <w:szCs w:val="28"/>
          <w:lang w:val="el-GR"/>
        </w:rPr>
        <w:t>του</w:t>
      </w:r>
      <w:r>
        <w:rPr>
          <w:rFonts w:ascii="Bookman Old Style" w:hAnsi="Bookman Old Style"/>
          <w:sz w:val="28"/>
          <w:szCs w:val="28"/>
          <w:lang w:val="el-GR"/>
        </w:rPr>
        <w:t xml:space="preserve"> </w:t>
      </w:r>
      <w:r w:rsidRPr="00075F6F">
        <w:rPr>
          <w:rFonts w:ascii="Bookman Old Style" w:hAnsi="Bookman Old Style"/>
          <w:b/>
          <w:bCs/>
          <w:sz w:val="28"/>
          <w:szCs w:val="28"/>
          <w:lang w:val="el-GR"/>
        </w:rPr>
        <w:t>Συντάγματος</w:t>
      </w:r>
      <w:r>
        <w:rPr>
          <w:rFonts w:ascii="Bookman Old Style" w:hAnsi="Bookman Old Style"/>
          <w:sz w:val="28"/>
          <w:szCs w:val="28"/>
          <w:lang w:val="el-GR"/>
        </w:rPr>
        <w:t xml:space="preserve"> γιατί τα στοιχεία που τέθηκαν ενώπιον του Κατώτερου </w:t>
      </w:r>
      <w:r w:rsidR="00153CBA">
        <w:rPr>
          <w:rFonts w:ascii="Bookman Old Style" w:hAnsi="Bookman Old Style"/>
          <w:sz w:val="28"/>
          <w:szCs w:val="28"/>
          <w:lang w:val="el-GR"/>
        </w:rPr>
        <w:t>Δ</w:t>
      </w:r>
      <w:r>
        <w:rPr>
          <w:rFonts w:ascii="Bookman Old Style" w:hAnsi="Bookman Old Style"/>
          <w:sz w:val="28"/>
          <w:szCs w:val="28"/>
          <w:lang w:val="el-GR"/>
        </w:rPr>
        <w:t>ικαστηρίου ήταν γενικά, αόριστα και ανεπαρκή μη δυνάμενα να δημιουργήσουν «</w:t>
      </w:r>
      <w:r w:rsidRPr="00075F6F">
        <w:rPr>
          <w:rFonts w:ascii="Bookman Old Style" w:hAnsi="Bookman Old Style"/>
          <w:i/>
          <w:iCs/>
          <w:sz w:val="28"/>
          <w:szCs w:val="28"/>
          <w:lang w:val="el-GR"/>
        </w:rPr>
        <w:t>εύλογη υποψία</w:t>
      </w:r>
      <w:r>
        <w:rPr>
          <w:rFonts w:ascii="Bookman Old Style" w:hAnsi="Bookman Old Style"/>
          <w:sz w:val="28"/>
          <w:szCs w:val="28"/>
          <w:lang w:val="el-GR"/>
        </w:rPr>
        <w:t xml:space="preserve">» ότι στο συγκεκριμένο υποστατικό υπάρχει οτιδήποτε </w:t>
      </w:r>
      <w:r w:rsidRPr="009E1129">
        <w:rPr>
          <w:rFonts w:ascii="Bookman Old Style" w:hAnsi="Bookman Old Style"/>
          <w:sz w:val="28"/>
          <w:szCs w:val="28"/>
          <w:lang w:val="el-GR"/>
        </w:rPr>
        <w:t>στο οποίο ή σε σχέση με το οποίο διαπράχθηκε ποινικό αδίκημα ή υπάρχει υποψία ότι διαπράχθηκε</w:t>
      </w:r>
      <w:r>
        <w:rPr>
          <w:rFonts w:ascii="Bookman Old Style" w:hAnsi="Bookman Old Style"/>
          <w:sz w:val="28"/>
          <w:szCs w:val="28"/>
          <w:lang w:val="el-GR"/>
        </w:rPr>
        <w:t>. Όπως υποστηρίχθηκε, το Δικαστήριο ενήργησε ως «</w:t>
      </w:r>
      <w:r w:rsidRPr="00075F6F">
        <w:rPr>
          <w:rFonts w:ascii="Bookman Old Style" w:hAnsi="Bookman Old Style"/>
          <w:i/>
          <w:iCs/>
          <w:sz w:val="28"/>
          <w:szCs w:val="28"/>
          <w:lang w:val="en-US"/>
        </w:rPr>
        <w:t>rubber</w:t>
      </w:r>
      <w:r w:rsidRPr="00075F6F">
        <w:rPr>
          <w:rFonts w:ascii="Bookman Old Style" w:hAnsi="Bookman Old Style"/>
          <w:i/>
          <w:iCs/>
          <w:sz w:val="28"/>
          <w:szCs w:val="28"/>
          <w:lang w:val="el-GR"/>
        </w:rPr>
        <w:t xml:space="preserve"> </w:t>
      </w:r>
      <w:r w:rsidRPr="00075F6F">
        <w:rPr>
          <w:rFonts w:ascii="Bookman Old Style" w:hAnsi="Bookman Old Style"/>
          <w:i/>
          <w:iCs/>
          <w:sz w:val="28"/>
          <w:szCs w:val="28"/>
          <w:lang w:val="en-US"/>
        </w:rPr>
        <w:t>stamp</w:t>
      </w:r>
      <w:r>
        <w:rPr>
          <w:rFonts w:ascii="Bookman Old Style" w:hAnsi="Bookman Old Style"/>
          <w:sz w:val="28"/>
          <w:szCs w:val="28"/>
          <w:lang w:val="el-GR"/>
        </w:rPr>
        <w:t>» των θέσεων της Αστυνομίας.</w:t>
      </w:r>
    </w:p>
    <w:p w14:paraId="03C1E472" w14:textId="77777777" w:rsidR="00075F6F" w:rsidRDefault="00075F6F" w:rsidP="008E4CC4">
      <w:pPr>
        <w:spacing w:line="480" w:lineRule="auto"/>
        <w:ind w:right="-35"/>
        <w:jc w:val="both"/>
        <w:rPr>
          <w:rFonts w:ascii="Bookman Old Style" w:hAnsi="Bookman Old Style"/>
          <w:sz w:val="28"/>
          <w:szCs w:val="28"/>
          <w:lang w:val="el-GR"/>
        </w:rPr>
      </w:pPr>
    </w:p>
    <w:p w14:paraId="127208D6" w14:textId="39E4AC3F" w:rsidR="00075F6F" w:rsidRDefault="00075F6F" w:rsidP="008E4CC4">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Ο πιο πάνω λόγος έχει ως πυλώνα στήριξης του τον ισχυρισμό ότι το Δικαστήριο </w:t>
      </w:r>
      <w:r w:rsidR="00954981">
        <w:rPr>
          <w:rFonts w:ascii="Bookman Old Style" w:hAnsi="Bookman Old Style"/>
          <w:sz w:val="28"/>
          <w:szCs w:val="28"/>
          <w:lang w:val="el-GR"/>
        </w:rPr>
        <w:t>εξέλαβε ως δεδομένο ότι τα προϊόντα για τα οποία γινόταν λόγος στην ένορκη δήλωση της Αστυνομίας θεωρούνταν φάρμακα</w:t>
      </w:r>
      <w:r w:rsidR="00810EAF">
        <w:rPr>
          <w:rFonts w:ascii="Bookman Old Style" w:hAnsi="Bookman Old Style"/>
          <w:sz w:val="28"/>
          <w:szCs w:val="28"/>
          <w:lang w:val="el-GR"/>
        </w:rPr>
        <w:t>,</w:t>
      </w:r>
      <w:r w:rsidR="00954981">
        <w:rPr>
          <w:rFonts w:ascii="Bookman Old Style" w:hAnsi="Bookman Old Style"/>
          <w:sz w:val="28"/>
          <w:szCs w:val="28"/>
          <w:lang w:val="el-GR"/>
        </w:rPr>
        <w:t xml:space="preserve"> χωρίς να συγκεκριμενοποιείται η απόφαση των Φαρμακευτικών Υπηρεσιών επί της οποίας στηρίχθηκε το αίτημα, ούτε κατά πόσο αυτή είναι δημοσιευμένη στην Εφημερίδα της Δημοκρατίας ή κατά πόσο είναι δεσμευτική για το Δικαστήριο, ούτε και τέθηκε η εν λόγω απόφαση ενώπιον του Δικαστηρίου. </w:t>
      </w:r>
    </w:p>
    <w:p w14:paraId="4A4EE432" w14:textId="77777777" w:rsidR="004E12ED" w:rsidRDefault="004E12ED" w:rsidP="008E4CC4">
      <w:pPr>
        <w:spacing w:line="480" w:lineRule="auto"/>
        <w:ind w:right="-35"/>
        <w:jc w:val="both"/>
        <w:rPr>
          <w:rFonts w:ascii="Bookman Old Style" w:hAnsi="Bookman Old Style"/>
          <w:sz w:val="28"/>
          <w:szCs w:val="28"/>
          <w:lang w:val="el-GR"/>
        </w:rPr>
      </w:pPr>
    </w:p>
    <w:p w14:paraId="7D288B3F" w14:textId="7BF8BDE9" w:rsidR="002478AB" w:rsidRDefault="002478AB" w:rsidP="00A1149A">
      <w:pPr>
        <w:spacing w:line="480" w:lineRule="auto"/>
        <w:ind w:right="-35"/>
        <w:jc w:val="both"/>
        <w:rPr>
          <w:rFonts w:ascii="Bookman Old Style" w:hAnsi="Bookman Old Style" w:cs="Arial"/>
          <w:sz w:val="28"/>
          <w:szCs w:val="28"/>
          <w:lang w:val="el-GR"/>
        </w:rPr>
      </w:pPr>
      <w:r>
        <w:rPr>
          <w:rFonts w:ascii="Bookman Old Style" w:hAnsi="Bookman Old Style"/>
          <w:sz w:val="28"/>
          <w:szCs w:val="28"/>
          <w:lang w:val="el-GR"/>
        </w:rPr>
        <w:t xml:space="preserve">Σύμφωνα με τη σχετική εισήγηση και με παραπομπή στον </w:t>
      </w:r>
      <w:r w:rsidRPr="00813110">
        <w:rPr>
          <w:rFonts w:ascii="Bookman Old Style" w:hAnsi="Bookman Old Style"/>
          <w:b/>
          <w:bCs/>
          <w:sz w:val="28"/>
          <w:szCs w:val="28"/>
          <w:lang w:val="el-GR"/>
        </w:rPr>
        <w:t>περί Φαρμάκων Ανθρώπινης Χρήσης (Έλεγχος Ποιότητας, Προμήθειας και Τιμών) Νόμο του 2001</w:t>
      </w:r>
      <w:r w:rsidR="00810EAF">
        <w:rPr>
          <w:rFonts w:ascii="Bookman Old Style" w:hAnsi="Bookman Old Style"/>
          <w:sz w:val="28"/>
          <w:szCs w:val="28"/>
          <w:lang w:val="el-GR"/>
        </w:rPr>
        <w:t>,</w:t>
      </w:r>
      <w:r w:rsidRPr="00813110">
        <w:rPr>
          <w:rFonts w:ascii="Bookman Old Style" w:hAnsi="Bookman Old Style"/>
          <w:sz w:val="28"/>
          <w:szCs w:val="28"/>
          <w:lang w:val="el-GR"/>
        </w:rPr>
        <w:t xml:space="preserve"> </w:t>
      </w:r>
      <w:r>
        <w:rPr>
          <w:rFonts w:ascii="Bookman Old Style" w:hAnsi="Bookman Old Style"/>
          <w:sz w:val="28"/>
          <w:szCs w:val="28"/>
          <w:lang w:val="el-GR"/>
        </w:rPr>
        <w:t xml:space="preserve">καθώς και στον </w:t>
      </w:r>
      <w:r w:rsidRPr="00813110">
        <w:rPr>
          <w:rFonts w:ascii="Bookman Old Style" w:hAnsi="Bookman Old Style"/>
          <w:b/>
          <w:bCs/>
          <w:sz w:val="28"/>
          <w:szCs w:val="28"/>
          <w:lang w:val="el-GR"/>
        </w:rPr>
        <w:t>περί Φαρμακευτικής και Δηλητηρίων Νόμο, Κεφ. 254</w:t>
      </w:r>
      <w:r w:rsidR="00813110">
        <w:rPr>
          <w:rFonts w:ascii="Bookman Old Style" w:hAnsi="Bookman Old Style"/>
          <w:sz w:val="28"/>
          <w:szCs w:val="28"/>
          <w:lang w:val="el-GR"/>
        </w:rPr>
        <w:t>,</w:t>
      </w:r>
      <w:r>
        <w:rPr>
          <w:rFonts w:ascii="Bookman Old Style" w:hAnsi="Bookman Old Style"/>
          <w:sz w:val="28"/>
          <w:szCs w:val="28"/>
          <w:lang w:val="el-GR"/>
        </w:rPr>
        <w:t xml:space="preserve"> η εξουσία καθορισμού των ουσιών που πρέπει να ελέγχονται αποδίδεται στον Υπουργό Υγείας και στο Υπουργικό Συμβούλιο</w:t>
      </w:r>
      <w:r w:rsidR="00813110">
        <w:rPr>
          <w:rFonts w:ascii="Bookman Old Style" w:hAnsi="Bookman Old Style"/>
          <w:sz w:val="28"/>
          <w:szCs w:val="28"/>
          <w:lang w:val="el-GR"/>
        </w:rPr>
        <w:t>,</w:t>
      </w:r>
      <w:r>
        <w:rPr>
          <w:rFonts w:ascii="Bookman Old Style" w:hAnsi="Bookman Old Style"/>
          <w:sz w:val="28"/>
          <w:szCs w:val="28"/>
          <w:lang w:val="el-GR"/>
        </w:rPr>
        <w:t xml:space="preserve"> ενώ το Συμβούλιο Φαρμάκων δεν έχει την εξουσία να αποφασίζει τι αποτελεί φάρμακο.</w:t>
      </w:r>
      <w:r w:rsidR="003E02A6" w:rsidRPr="003E02A6">
        <w:rPr>
          <w:rFonts w:ascii="Bookman Old Style" w:hAnsi="Bookman Old Style"/>
          <w:sz w:val="28"/>
          <w:szCs w:val="28"/>
          <w:lang w:val="el-GR"/>
        </w:rPr>
        <w:t xml:space="preserve"> </w:t>
      </w:r>
      <w:r w:rsidR="00C6123D">
        <w:rPr>
          <w:rFonts w:ascii="Bookman Old Style" w:hAnsi="Bookman Old Style"/>
          <w:sz w:val="28"/>
          <w:szCs w:val="28"/>
          <w:lang w:val="el-GR"/>
        </w:rPr>
        <w:t>Περαιτέρω προβλήθηκε ότι</w:t>
      </w:r>
      <w:r w:rsidR="00810EAF">
        <w:rPr>
          <w:rFonts w:ascii="Bookman Old Style" w:hAnsi="Bookman Old Style"/>
          <w:sz w:val="28"/>
          <w:szCs w:val="28"/>
          <w:lang w:val="el-GR"/>
        </w:rPr>
        <w:t>,</w:t>
      </w:r>
      <w:r w:rsidR="00C6123D">
        <w:rPr>
          <w:rFonts w:ascii="Bookman Old Style" w:hAnsi="Bookman Old Style"/>
          <w:sz w:val="28"/>
          <w:szCs w:val="28"/>
          <w:lang w:val="el-GR"/>
        </w:rPr>
        <w:t xml:space="preserve"> εν πάση περιπτώσει</w:t>
      </w:r>
      <w:r w:rsidR="00810EAF">
        <w:rPr>
          <w:rFonts w:ascii="Bookman Old Style" w:hAnsi="Bookman Old Style"/>
          <w:sz w:val="28"/>
          <w:szCs w:val="28"/>
          <w:lang w:val="el-GR"/>
        </w:rPr>
        <w:t>,</w:t>
      </w:r>
      <w:r w:rsidR="00C6123D">
        <w:rPr>
          <w:rFonts w:ascii="Bookman Old Style" w:hAnsi="Bookman Old Style"/>
          <w:sz w:val="28"/>
          <w:szCs w:val="28"/>
          <w:lang w:val="el-GR"/>
        </w:rPr>
        <w:t xml:space="preserve"> η </w:t>
      </w:r>
      <w:bookmarkStart w:id="6" w:name="_Hlk139542701"/>
      <w:r w:rsidR="00C6123D">
        <w:rPr>
          <w:rFonts w:ascii="Bookman Old Style" w:hAnsi="Bookman Old Style" w:cs="Arial"/>
          <w:sz w:val="28"/>
          <w:szCs w:val="28"/>
          <w:lang w:val="el-GR"/>
        </w:rPr>
        <w:t>κανναβιδιόλη</w:t>
      </w:r>
      <w:bookmarkEnd w:id="6"/>
      <w:r w:rsidR="00C6123D">
        <w:rPr>
          <w:rFonts w:ascii="Bookman Old Style" w:hAnsi="Bookman Old Style" w:cs="Arial"/>
          <w:sz w:val="28"/>
          <w:szCs w:val="28"/>
          <w:lang w:val="el-GR"/>
        </w:rPr>
        <w:t xml:space="preserve"> δεν διαλαμβάνεται ούτε στα δηλητήρια ούτε και στο </w:t>
      </w:r>
      <w:r w:rsidR="00C6123D" w:rsidRPr="00A1149A">
        <w:rPr>
          <w:rFonts w:ascii="Bookman Old Style" w:hAnsi="Bookman Old Style" w:cs="Arial"/>
          <w:b/>
          <w:bCs/>
          <w:sz w:val="28"/>
          <w:szCs w:val="28"/>
          <w:lang w:val="el-GR"/>
        </w:rPr>
        <w:t>Νόμο 29/1977</w:t>
      </w:r>
      <w:r w:rsidR="00C6123D">
        <w:rPr>
          <w:rFonts w:ascii="Bookman Old Style" w:hAnsi="Bookman Old Style" w:cs="Arial"/>
          <w:sz w:val="28"/>
          <w:szCs w:val="28"/>
          <w:lang w:val="el-GR"/>
        </w:rPr>
        <w:t>.</w:t>
      </w:r>
    </w:p>
    <w:p w14:paraId="63A81729" w14:textId="77777777" w:rsidR="00412E1D" w:rsidRDefault="00412E1D" w:rsidP="00A1149A">
      <w:pPr>
        <w:spacing w:line="480" w:lineRule="auto"/>
        <w:ind w:right="-35"/>
        <w:jc w:val="both"/>
        <w:rPr>
          <w:rFonts w:ascii="Bookman Old Style" w:hAnsi="Bookman Old Style" w:cs="Arial"/>
          <w:sz w:val="28"/>
          <w:szCs w:val="28"/>
          <w:lang w:val="el-GR"/>
        </w:rPr>
      </w:pPr>
    </w:p>
    <w:p w14:paraId="6F300FDB" w14:textId="77777777" w:rsidR="006A7131" w:rsidRDefault="006A7131" w:rsidP="006A7131">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Εν πρώτοις είναι παραδεκτό από την ίδια την Ένορκη Δήλωση </w:t>
      </w:r>
      <w:r>
        <w:rPr>
          <w:rFonts w:ascii="Bookman Old Style" w:hAnsi="Bookman Old Style" w:cs="Arial"/>
          <w:sz w:val="28"/>
          <w:szCs w:val="28"/>
          <w:lang w:val="el-GR"/>
        </w:rPr>
        <w:t>Θεοφάνους</w:t>
      </w:r>
      <w:r>
        <w:rPr>
          <w:rFonts w:ascii="Bookman Old Style" w:hAnsi="Bookman Old Style"/>
          <w:sz w:val="28"/>
          <w:szCs w:val="28"/>
          <w:lang w:val="el-GR"/>
        </w:rPr>
        <w:t xml:space="preserve"> ότι στο υποστατικό στο οποίο διατάχθηκε η έρευνα πωλούνταν και προϊόντα τα οποία περιείχαν κανναβιδιόλη. Είναι, επίσης, παραδεκτό ότι το εν λόγω υποστατικό της Αιτήτριας δεν αποτελεί φαρμακείο, ούτε ο Διευθυντής της Αιτήτριας εταιρείας είναι φαρμακοποιός.</w:t>
      </w:r>
    </w:p>
    <w:p w14:paraId="780C26E0" w14:textId="77777777" w:rsidR="00F2219C" w:rsidRDefault="00F2219C" w:rsidP="006A7131">
      <w:pPr>
        <w:spacing w:line="480" w:lineRule="auto"/>
        <w:ind w:right="-35"/>
        <w:jc w:val="both"/>
        <w:rPr>
          <w:rFonts w:ascii="Bookman Old Style" w:hAnsi="Bookman Old Style"/>
          <w:sz w:val="28"/>
          <w:szCs w:val="28"/>
          <w:lang w:val="el-GR"/>
        </w:rPr>
      </w:pPr>
    </w:p>
    <w:p w14:paraId="36A11E1C" w14:textId="04B03B03" w:rsidR="0034154C" w:rsidRPr="0068733F" w:rsidRDefault="0034154C" w:rsidP="009356E4">
      <w:pPr>
        <w:pStyle w:val="indent10"/>
        <w:spacing w:before="0" w:beforeAutospacing="0" w:after="0" w:afterAutospacing="0" w:line="480" w:lineRule="auto"/>
        <w:jc w:val="both"/>
        <w:rPr>
          <w:rFonts w:ascii="Bookman Old Style" w:hAnsi="Bookman Old Style"/>
          <w:color w:val="000000"/>
          <w:sz w:val="28"/>
          <w:szCs w:val="28"/>
          <w:lang w:val="el-GR"/>
        </w:rPr>
      </w:pPr>
      <w:r>
        <w:rPr>
          <w:rFonts w:ascii="Bookman Old Style" w:hAnsi="Bookman Old Style" w:cs="Arial"/>
          <w:sz w:val="28"/>
          <w:szCs w:val="28"/>
          <w:lang w:val="el-GR"/>
        </w:rPr>
        <w:t xml:space="preserve">Στο  ερμηνευτικό </w:t>
      </w:r>
      <w:r w:rsidRPr="0034154C">
        <w:rPr>
          <w:rFonts w:ascii="Bookman Old Style" w:hAnsi="Bookman Old Style" w:cs="Arial"/>
          <w:b/>
          <w:bCs/>
          <w:sz w:val="28"/>
          <w:szCs w:val="28"/>
          <w:lang w:val="el-GR"/>
        </w:rPr>
        <w:t>Άρθρο 2</w:t>
      </w:r>
      <w:r>
        <w:rPr>
          <w:rFonts w:ascii="Bookman Old Style" w:hAnsi="Bookman Old Style" w:cs="Arial"/>
          <w:sz w:val="28"/>
          <w:szCs w:val="28"/>
          <w:lang w:val="el-GR"/>
        </w:rPr>
        <w:t xml:space="preserve"> </w:t>
      </w:r>
      <w:r w:rsidRPr="00810EAF">
        <w:rPr>
          <w:rFonts w:ascii="Bookman Old Style" w:hAnsi="Bookman Old Style" w:cs="Arial"/>
          <w:b/>
          <w:bCs/>
          <w:sz w:val="28"/>
          <w:szCs w:val="28"/>
          <w:lang w:val="el-GR"/>
        </w:rPr>
        <w:t>του</w:t>
      </w:r>
      <w:r>
        <w:rPr>
          <w:rFonts w:ascii="Bookman Old Style" w:hAnsi="Bookman Old Style" w:cs="Arial"/>
          <w:sz w:val="28"/>
          <w:szCs w:val="28"/>
          <w:lang w:val="el-GR"/>
        </w:rPr>
        <w:t xml:space="preserve"> </w:t>
      </w:r>
      <w:r w:rsidRPr="0034154C">
        <w:rPr>
          <w:rFonts w:ascii="Bookman Old Style" w:hAnsi="Bookman Old Style" w:cs="Arial"/>
          <w:b/>
          <w:bCs/>
          <w:sz w:val="28"/>
          <w:szCs w:val="28"/>
          <w:lang w:val="el-GR"/>
        </w:rPr>
        <w:t>Ν. 70(Ι)/2001</w:t>
      </w:r>
      <w:r w:rsidR="006A7131">
        <w:rPr>
          <w:rFonts w:ascii="Bookman Old Style" w:hAnsi="Bookman Old Style" w:cs="Arial"/>
          <w:b/>
          <w:bCs/>
          <w:sz w:val="28"/>
          <w:szCs w:val="28"/>
          <w:lang w:val="el-GR"/>
        </w:rPr>
        <w:t xml:space="preserve"> «</w:t>
      </w:r>
      <w:r w:rsidRPr="0068733F">
        <w:rPr>
          <w:rFonts w:ascii="Bookman Old Style" w:hAnsi="Bookman Old Style"/>
          <w:b/>
          <w:bCs/>
          <w:i/>
          <w:iCs/>
          <w:color w:val="000000"/>
          <w:sz w:val="28"/>
          <w:szCs w:val="28"/>
          <w:lang w:val="el-GR"/>
        </w:rPr>
        <w:t>φαρμακευτικό προϊόν</w:t>
      </w:r>
      <w:r w:rsidR="006A7131">
        <w:rPr>
          <w:rFonts w:ascii="Bookman Old Style" w:hAnsi="Bookman Old Style"/>
          <w:b/>
          <w:bCs/>
          <w:i/>
          <w:iCs/>
          <w:color w:val="000000"/>
          <w:sz w:val="28"/>
          <w:szCs w:val="28"/>
          <w:lang w:val="el-GR"/>
        </w:rPr>
        <w:t>»</w:t>
      </w:r>
      <w:r w:rsidRPr="0068733F">
        <w:rPr>
          <w:rFonts w:ascii="Bookman Old Style" w:hAnsi="Bookman Old Style"/>
          <w:color w:val="000000"/>
          <w:sz w:val="28"/>
          <w:szCs w:val="28"/>
          <w:lang w:val="el-GR"/>
        </w:rPr>
        <w:t xml:space="preserve"> σημαίνει </w:t>
      </w:r>
      <w:r w:rsidR="006A7131" w:rsidRPr="0068733F">
        <w:rPr>
          <w:rFonts w:ascii="Bookman Old Style" w:hAnsi="Bookman Old Style"/>
          <w:color w:val="000000"/>
          <w:sz w:val="28"/>
          <w:szCs w:val="28"/>
          <w:lang w:val="el-GR"/>
        </w:rPr>
        <w:t>–</w:t>
      </w:r>
    </w:p>
    <w:p w14:paraId="7756CC14" w14:textId="77777777" w:rsidR="00F2219C" w:rsidRPr="0068733F" w:rsidRDefault="00F2219C" w:rsidP="009356E4">
      <w:pPr>
        <w:pStyle w:val="indent10"/>
        <w:spacing w:before="0" w:beforeAutospacing="0" w:after="0" w:afterAutospacing="0" w:line="480" w:lineRule="auto"/>
        <w:jc w:val="both"/>
        <w:rPr>
          <w:rFonts w:ascii="Bookman Old Style" w:hAnsi="Bookman Old Style"/>
          <w:color w:val="000000"/>
          <w:sz w:val="28"/>
          <w:szCs w:val="28"/>
          <w:lang w:val="el-GR"/>
        </w:rPr>
      </w:pPr>
    </w:p>
    <w:p w14:paraId="54D5DFC8" w14:textId="3E16F815" w:rsidR="0034154C" w:rsidRPr="0068733F" w:rsidRDefault="0034154C" w:rsidP="009356E4">
      <w:pPr>
        <w:pStyle w:val="indent10"/>
        <w:spacing w:before="0" w:beforeAutospacing="0" w:after="0" w:afterAutospacing="0"/>
        <w:ind w:left="142"/>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(α)</w:t>
      </w:r>
      <w:r w:rsidRPr="0034154C">
        <w:rPr>
          <w:rFonts w:ascii="Bookman Old Style" w:hAnsi="Bookman Old Style"/>
          <w:i/>
          <w:iCs/>
          <w:color w:val="000000"/>
          <w:sz w:val="26"/>
          <w:szCs w:val="26"/>
          <w:lang w:val="el-GR"/>
        </w:rPr>
        <w:t xml:space="preserve"> </w:t>
      </w:r>
      <w:r w:rsidRPr="0068733F">
        <w:rPr>
          <w:rFonts w:ascii="Bookman Old Style" w:hAnsi="Bookman Old Style"/>
          <w:i/>
          <w:iCs/>
          <w:color w:val="000000"/>
          <w:sz w:val="26"/>
          <w:szCs w:val="26"/>
          <w:lang w:val="el-GR"/>
        </w:rPr>
        <w:t>κάθε ουσία ή συνδυασμό ουσιών, που χαρακτηρίζεται ως έχουσα θεραπευτικές ή προληπτικές ιδιότητες έναντι ασθενειών ανθρώπων, ή</w:t>
      </w:r>
    </w:p>
    <w:p w14:paraId="2BF6DB0B" w14:textId="1238093C" w:rsidR="0034154C" w:rsidRPr="0068733F" w:rsidRDefault="0034154C" w:rsidP="009356E4">
      <w:pPr>
        <w:pStyle w:val="indent10"/>
        <w:spacing w:before="0" w:beforeAutospacing="0" w:after="0" w:afterAutospacing="0"/>
        <w:ind w:left="142"/>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(β)</w:t>
      </w:r>
      <w:r w:rsidRPr="0034154C">
        <w:rPr>
          <w:rFonts w:ascii="Bookman Old Style" w:hAnsi="Bookman Old Style"/>
          <w:i/>
          <w:iCs/>
          <w:color w:val="000000"/>
          <w:sz w:val="26"/>
          <w:szCs w:val="26"/>
          <w:lang w:val="el-GR"/>
        </w:rPr>
        <w:t xml:space="preserve"> </w:t>
      </w:r>
      <w:r w:rsidRPr="0068733F">
        <w:rPr>
          <w:rFonts w:ascii="Bookman Old Style" w:hAnsi="Bookman Old Style"/>
          <w:i/>
          <w:iCs/>
          <w:color w:val="000000"/>
          <w:sz w:val="26"/>
          <w:szCs w:val="26"/>
          <w:lang w:val="el-GR"/>
        </w:rPr>
        <w:t>κάθε ουσία ή συνδυασμό ουσιών, που δύναται να χρησιμοποιηθεί ή να χορηγηθεί σε άνθρωπο, με σκοπό-</w:t>
      </w:r>
    </w:p>
    <w:p w14:paraId="383DF13D" w14:textId="0AC700D7" w:rsidR="0034154C" w:rsidRPr="0068733F" w:rsidRDefault="0034154C" w:rsidP="00C570FB">
      <w:pPr>
        <w:pStyle w:val="indent10"/>
        <w:spacing w:before="120" w:beforeAutospacing="0" w:after="120" w:afterAutospacing="0"/>
        <w:ind w:left="284"/>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w:t>
      </w:r>
      <w:r w:rsidRPr="0034154C">
        <w:rPr>
          <w:rFonts w:ascii="Bookman Old Style" w:hAnsi="Bookman Old Style"/>
          <w:i/>
          <w:iCs/>
          <w:color w:val="000000"/>
          <w:sz w:val="26"/>
          <w:szCs w:val="26"/>
        </w:rPr>
        <w:t>i</w:t>
      </w:r>
      <w:r w:rsidRPr="0068733F">
        <w:rPr>
          <w:rFonts w:ascii="Bookman Old Style" w:hAnsi="Bookman Old Style"/>
          <w:i/>
          <w:iCs/>
          <w:color w:val="000000"/>
          <w:sz w:val="26"/>
          <w:szCs w:val="26"/>
          <w:lang w:val="el-GR"/>
        </w:rPr>
        <w:t xml:space="preserve">) </w:t>
      </w:r>
      <w:r w:rsidRPr="0034154C">
        <w:rPr>
          <w:rFonts w:ascii="Bookman Old Style" w:hAnsi="Bookman Old Style"/>
          <w:i/>
          <w:iCs/>
          <w:color w:val="000000"/>
          <w:sz w:val="26"/>
          <w:szCs w:val="26"/>
          <w:lang w:val="el-GR"/>
        </w:rPr>
        <w:t xml:space="preserve"> </w:t>
      </w:r>
      <w:r w:rsidRPr="0068733F">
        <w:rPr>
          <w:rFonts w:ascii="Bookman Old Style" w:hAnsi="Bookman Old Style"/>
          <w:i/>
          <w:iCs/>
          <w:color w:val="000000"/>
          <w:sz w:val="26"/>
          <w:szCs w:val="26"/>
          <w:lang w:val="el-GR"/>
        </w:rPr>
        <w:t>είτε να αποκατασταθούν, να διορθωθούν ή να τροποποιηθούν φυσιολογικές λειτουργίες με την άσκηση φαρμακολογικής, ανοσολογικής ή μεταβολικής δράσης,</w:t>
      </w:r>
    </w:p>
    <w:p w14:paraId="3B5C8C80" w14:textId="0F77FADF" w:rsidR="0034154C" w:rsidRPr="0068733F" w:rsidRDefault="0034154C" w:rsidP="00C570FB">
      <w:pPr>
        <w:pStyle w:val="indent10"/>
        <w:spacing w:before="120" w:beforeAutospacing="0" w:after="120" w:afterAutospacing="0"/>
        <w:ind w:left="284"/>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w:t>
      </w:r>
      <w:r w:rsidRPr="0034154C">
        <w:rPr>
          <w:rFonts w:ascii="Bookman Old Style" w:hAnsi="Bookman Old Style"/>
          <w:i/>
          <w:iCs/>
          <w:color w:val="000000"/>
          <w:sz w:val="26"/>
          <w:szCs w:val="26"/>
        </w:rPr>
        <w:t>ii</w:t>
      </w:r>
      <w:r w:rsidRPr="0068733F">
        <w:rPr>
          <w:rFonts w:ascii="Bookman Old Style" w:hAnsi="Bookman Old Style"/>
          <w:i/>
          <w:iCs/>
          <w:color w:val="000000"/>
          <w:sz w:val="26"/>
          <w:szCs w:val="26"/>
          <w:lang w:val="el-GR"/>
        </w:rPr>
        <w:t>)</w:t>
      </w:r>
      <w:r w:rsidRPr="0034154C">
        <w:rPr>
          <w:rFonts w:ascii="Bookman Old Style" w:hAnsi="Bookman Old Style"/>
          <w:i/>
          <w:iCs/>
          <w:color w:val="000000"/>
          <w:sz w:val="26"/>
          <w:szCs w:val="26"/>
          <w:lang w:val="el-GR"/>
        </w:rPr>
        <w:t xml:space="preserve"> </w:t>
      </w:r>
      <w:r w:rsidRPr="0068733F">
        <w:rPr>
          <w:rFonts w:ascii="Bookman Old Style" w:hAnsi="Bookman Old Style"/>
          <w:i/>
          <w:iCs/>
          <w:color w:val="000000"/>
          <w:sz w:val="26"/>
          <w:szCs w:val="26"/>
          <w:lang w:val="el-GR"/>
        </w:rPr>
        <w:t>είτε να γίνει ιατρική διάγνωση.</w:t>
      </w:r>
    </w:p>
    <w:p w14:paraId="1488BFF4" w14:textId="77777777" w:rsidR="00C570FB" w:rsidRPr="0068733F" w:rsidRDefault="00C570FB" w:rsidP="00C570FB">
      <w:pPr>
        <w:pStyle w:val="indent10"/>
        <w:spacing w:before="120" w:beforeAutospacing="0" w:after="120" w:afterAutospacing="0"/>
        <w:ind w:left="284"/>
        <w:jc w:val="both"/>
        <w:rPr>
          <w:rFonts w:ascii="Bookman Old Style" w:hAnsi="Bookman Old Style"/>
          <w:i/>
          <w:iCs/>
          <w:color w:val="000000"/>
          <w:sz w:val="26"/>
          <w:szCs w:val="26"/>
          <w:lang w:val="el-GR"/>
        </w:rPr>
      </w:pPr>
    </w:p>
    <w:p w14:paraId="197A03BB" w14:textId="452E7785" w:rsidR="002D0936" w:rsidRPr="0034154C" w:rsidRDefault="002D0936" w:rsidP="00C570FB">
      <w:pPr>
        <w:spacing w:before="120" w:after="120"/>
        <w:ind w:right="-35"/>
        <w:jc w:val="both"/>
        <w:rPr>
          <w:rFonts w:ascii="Bookman Old Style" w:hAnsi="Bookman Old Style" w:cs="Arial"/>
          <w:sz w:val="26"/>
          <w:szCs w:val="26"/>
          <w:lang w:val="el-GR"/>
        </w:rPr>
      </w:pPr>
      <w:r w:rsidRPr="0034154C">
        <w:rPr>
          <w:rFonts w:ascii="Bookman Old Style" w:hAnsi="Bookman Old Style" w:cs="Arial"/>
          <w:sz w:val="26"/>
          <w:szCs w:val="26"/>
          <w:lang w:val="el-GR"/>
        </w:rPr>
        <w:t xml:space="preserve">              </w:t>
      </w:r>
    </w:p>
    <w:p w14:paraId="2351BEDD" w14:textId="1B4B7569" w:rsidR="00A1149A" w:rsidRDefault="00A1149A" w:rsidP="00C570FB">
      <w:pPr>
        <w:pStyle w:val="NormalWeb"/>
        <w:spacing w:before="0" w:beforeAutospacing="0" w:after="0" w:afterAutospacing="0" w:line="480" w:lineRule="auto"/>
        <w:jc w:val="both"/>
        <w:rPr>
          <w:rFonts w:ascii="Bookman Old Style" w:hAnsi="Bookman Old Style" w:cs="Arial"/>
          <w:sz w:val="28"/>
          <w:szCs w:val="28"/>
          <w:lang w:val="el-GR"/>
        </w:rPr>
      </w:pPr>
      <w:r w:rsidRPr="00A1149A">
        <w:rPr>
          <w:rFonts w:ascii="Bookman Old Style" w:hAnsi="Bookman Old Style"/>
          <w:color w:val="000000"/>
          <w:sz w:val="28"/>
          <w:szCs w:val="28"/>
          <w:lang w:val="el-GR"/>
        </w:rPr>
        <w:t xml:space="preserve">Όσον δε αφορά την αρμοδιότητα και εξουσία του Συμβουλίου Φαρμάκων αυτή </w:t>
      </w:r>
      <w:r>
        <w:rPr>
          <w:rFonts w:ascii="Bookman Old Style" w:hAnsi="Bookman Old Style"/>
          <w:color w:val="000000"/>
          <w:sz w:val="28"/>
          <w:szCs w:val="28"/>
          <w:lang w:val="el-GR"/>
        </w:rPr>
        <w:t>καθορίζεται</w:t>
      </w:r>
      <w:r w:rsidRPr="00A1149A">
        <w:rPr>
          <w:rFonts w:ascii="Bookman Old Style" w:hAnsi="Bookman Old Style"/>
          <w:color w:val="000000"/>
          <w:sz w:val="28"/>
          <w:szCs w:val="28"/>
          <w:lang w:val="el-GR"/>
        </w:rPr>
        <w:t xml:space="preserve"> στο </w:t>
      </w:r>
      <w:r w:rsidRPr="00A1149A">
        <w:rPr>
          <w:rFonts w:ascii="Bookman Old Style" w:hAnsi="Bookman Old Style"/>
          <w:b/>
          <w:bCs/>
          <w:color w:val="000000"/>
          <w:sz w:val="28"/>
          <w:szCs w:val="28"/>
          <w:lang w:val="el-GR"/>
        </w:rPr>
        <w:t>Άρθρο 7</w:t>
      </w:r>
      <w:r w:rsidRPr="00A1149A">
        <w:rPr>
          <w:rFonts w:ascii="Bookman Old Style" w:hAnsi="Bookman Old Style"/>
          <w:color w:val="000000"/>
          <w:sz w:val="28"/>
          <w:szCs w:val="28"/>
          <w:lang w:val="el-GR"/>
        </w:rPr>
        <w:t xml:space="preserve"> του </w:t>
      </w:r>
      <w:r w:rsidRPr="0068733F">
        <w:rPr>
          <w:rFonts w:ascii="Bookman Old Style" w:hAnsi="Bookman Old Style"/>
          <w:color w:val="000000"/>
          <w:sz w:val="28"/>
          <w:szCs w:val="28"/>
          <w:lang w:val="el-GR"/>
        </w:rPr>
        <w:t xml:space="preserve"> </w:t>
      </w:r>
      <w:r w:rsidRPr="00A1149A">
        <w:rPr>
          <w:rFonts w:ascii="Bookman Old Style" w:hAnsi="Bookman Old Style" w:cs="Arial"/>
          <w:b/>
          <w:bCs/>
          <w:sz w:val="28"/>
          <w:szCs w:val="28"/>
          <w:lang w:val="el-GR"/>
        </w:rPr>
        <w:t>Ν. 70(Ι)/2001</w:t>
      </w:r>
      <w:r>
        <w:rPr>
          <w:rFonts w:ascii="Bookman Old Style" w:hAnsi="Bookman Old Style" w:cs="Arial"/>
          <w:b/>
          <w:bCs/>
          <w:sz w:val="28"/>
          <w:szCs w:val="28"/>
          <w:lang w:val="el-GR"/>
        </w:rPr>
        <w:t xml:space="preserve"> </w:t>
      </w:r>
      <w:r>
        <w:rPr>
          <w:rFonts w:ascii="Bookman Old Style" w:hAnsi="Bookman Old Style" w:cs="Arial"/>
          <w:sz w:val="28"/>
          <w:szCs w:val="28"/>
          <w:lang w:val="el-GR"/>
        </w:rPr>
        <w:t>ως ακολούθως:</w:t>
      </w:r>
    </w:p>
    <w:p w14:paraId="62BA8CB2" w14:textId="77777777" w:rsidR="00C570FB" w:rsidRPr="0068733F" w:rsidRDefault="00C570FB" w:rsidP="00C570FB">
      <w:pPr>
        <w:pStyle w:val="NormalWeb"/>
        <w:spacing w:before="0" w:beforeAutospacing="0" w:after="0" w:afterAutospacing="0" w:line="480" w:lineRule="auto"/>
        <w:jc w:val="both"/>
        <w:rPr>
          <w:rFonts w:ascii="Bookman Old Style" w:hAnsi="Bookman Old Style"/>
          <w:color w:val="000000"/>
          <w:sz w:val="28"/>
          <w:szCs w:val="28"/>
          <w:lang w:val="el-GR"/>
        </w:rPr>
      </w:pPr>
    </w:p>
    <w:p w14:paraId="2945C5FE" w14:textId="77777777" w:rsidR="00A1149A" w:rsidRPr="0068733F" w:rsidRDefault="00A1149A" w:rsidP="00C570FB">
      <w:pPr>
        <w:pStyle w:val="indent10"/>
        <w:spacing w:before="0" w:beforeAutospacing="0" w:after="0" w:afterAutospacing="0"/>
        <w:ind w:left="448"/>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(α) Να εξετάζει αιτήσεις και να εκδίδει άδειες κυκλοφορίας φαρμακευτικών προϊόντων,</w:t>
      </w:r>
    </w:p>
    <w:p w14:paraId="43E38039" w14:textId="77777777" w:rsidR="0042501F" w:rsidRDefault="00A1149A" w:rsidP="0042501F">
      <w:pPr>
        <w:pStyle w:val="indent10"/>
        <w:spacing w:before="0" w:beforeAutospacing="0" w:after="0" w:afterAutospacing="0"/>
        <w:ind w:left="448"/>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(β) να τροποποιεί, να ανακαλεί και να αναστέλλει άδειες κυκλοφορίας φαρμακευτικών προϊόντων,</w:t>
      </w:r>
    </w:p>
    <w:p w14:paraId="6D827BDD" w14:textId="6C102EE2" w:rsidR="00A1149A" w:rsidRPr="0068733F" w:rsidRDefault="00A1149A" w:rsidP="0042501F">
      <w:pPr>
        <w:pStyle w:val="indent10"/>
        <w:spacing w:before="0" w:beforeAutospacing="0" w:after="0" w:afterAutospacing="0"/>
        <w:ind w:left="448"/>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(γ) να εξετάζει και να εκδίδει άδειες παρασκευής και εισαγωγής φαρμακευτικών προϊόντων προέλευσης τρίτων χωρών,</w:t>
      </w:r>
    </w:p>
    <w:p w14:paraId="41D6C519" w14:textId="77777777" w:rsidR="00A1149A" w:rsidRPr="0068733F" w:rsidRDefault="00A1149A" w:rsidP="00C570FB">
      <w:pPr>
        <w:pStyle w:val="indent10"/>
        <w:spacing w:before="120" w:beforeAutospacing="0" w:after="120" w:afterAutospacing="0"/>
        <w:ind w:left="448"/>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(γΑ) να εξετάζει και να εκδίδει άδειες παρασκευής και εισαγωγής δοκιμαζόμενων φαρμακευτικών προϊόντων προέλευσης τρίτων χωρών,</w:t>
      </w:r>
    </w:p>
    <w:p w14:paraId="675414A4" w14:textId="77777777" w:rsidR="00A1149A" w:rsidRPr="0068733F" w:rsidRDefault="00A1149A" w:rsidP="00C570FB">
      <w:pPr>
        <w:pStyle w:val="indent10"/>
        <w:spacing w:before="120" w:beforeAutospacing="0" w:after="120" w:afterAutospacing="0"/>
        <w:ind w:left="448"/>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(δ) να τροποποιεί, να ανακαλεί και να αναστέλλει άδειες παρασκευής και εισαγωγής φαρμακευτικών προϊόντων προέλευσης τρίτων χωρών,</w:t>
      </w:r>
    </w:p>
    <w:p w14:paraId="1FA8B923" w14:textId="77777777" w:rsidR="00A1149A" w:rsidRPr="0068733F" w:rsidRDefault="00A1149A" w:rsidP="00C570FB">
      <w:pPr>
        <w:pStyle w:val="indent10"/>
        <w:spacing w:before="120" w:beforeAutospacing="0" w:after="120" w:afterAutospacing="0"/>
        <w:ind w:left="448"/>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(δα) σε συνεργασία με τον Ευρωπαϊκό Οργανισμό Φαρμάκων αποφασίζει για τη μορφή και το περιεχόμενο της άδειας που αναφέρεται στο εδάφιο (1) του άρθρου 39, καθώς στο εδάφιο (1) του άρθρου 82, των εκθέσεων που αναφέρονται στο εδάφιο (11) του άρθρου 48 και των πιστοποιητικών ορθής παρασκευής και ορθής πρακτικής διανομής που αναφέρονται στην παράγραφο (α) του εδαφίου (15) του άρθρου 48,</w:t>
      </w:r>
    </w:p>
    <w:p w14:paraId="26D33A39" w14:textId="77777777" w:rsidR="00A1149A" w:rsidRPr="0068733F" w:rsidRDefault="00A1149A" w:rsidP="00C570FB">
      <w:pPr>
        <w:pStyle w:val="indent10"/>
        <w:spacing w:before="120" w:beforeAutospacing="0" w:after="120" w:afterAutospacing="0"/>
        <w:ind w:left="448"/>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(δβ) οργανώνει συναντήσεις με τη συμμετοχή οργανώσεων ασθενών και καταναλωτών και, εφόσον χρειάζεται, της αστυνομίας σχετικά με τις ενέργειες που αναλήφθηκαν στον τομέα της πρόληψης και της επιβολής του παρόντος Νόμου με στόχο την καταπολέμηση της παραποίησης των φαρμακευτικών προϊόντων,</w:t>
      </w:r>
    </w:p>
    <w:p w14:paraId="106D73A1" w14:textId="77777777" w:rsidR="00A1149A" w:rsidRPr="0068733F" w:rsidRDefault="00A1149A" w:rsidP="00C570FB">
      <w:pPr>
        <w:pStyle w:val="indent10"/>
        <w:spacing w:before="120" w:beforeAutospacing="0" w:after="120" w:afterAutospacing="0"/>
        <w:ind w:left="448"/>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(δγ) κατά την εφαρμογή του παρόντος Νόμου, λαμβάνει τα αναγκαία μέτρα για να εξασφαλίσει τη συνεργασία των τελωνειακών αρχών, εκεί όπου χρειάζεται,</w:t>
      </w:r>
    </w:p>
    <w:p w14:paraId="51F98F93" w14:textId="77777777" w:rsidR="00A1149A" w:rsidRPr="0068733F" w:rsidRDefault="00A1149A" w:rsidP="00C570FB">
      <w:pPr>
        <w:pStyle w:val="indent10"/>
        <w:spacing w:before="120" w:beforeAutospacing="0" w:after="120" w:afterAutospacing="0"/>
        <w:ind w:left="448"/>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(δΑ) να αποτελεί την εθνική αρμόδια αρχή για την εφαρμογή των διατάξεων του Κανονισμού(ΕΕ) αριθ. 536/2014,</w:t>
      </w:r>
    </w:p>
    <w:p w14:paraId="6E05DB0F" w14:textId="77777777" w:rsidR="00A1149A" w:rsidRPr="0068733F" w:rsidRDefault="00A1149A" w:rsidP="00C570FB">
      <w:pPr>
        <w:pStyle w:val="indent10"/>
        <w:spacing w:before="120" w:beforeAutospacing="0" w:after="120" w:afterAutospacing="0"/>
        <w:ind w:left="448"/>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(ε) να τηρεί αρχείο και να αξιολογεί πληροφορίες φαρμακοεπαγρύπνησης,</w:t>
      </w:r>
    </w:p>
    <w:p w14:paraId="71B1B46D" w14:textId="77777777" w:rsidR="00A1149A" w:rsidRPr="0068733F" w:rsidRDefault="00A1149A" w:rsidP="00C570FB">
      <w:pPr>
        <w:pStyle w:val="indent10"/>
        <w:spacing w:before="120" w:beforeAutospacing="0" w:after="120" w:afterAutospacing="0"/>
        <w:ind w:left="448"/>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(στ) να ζητά και να παρέχει αναγκαίες πληροφορίες για την τήρηση των υποχρεώσεων που σχετίζονται με την άδεια κυκλοφορίας ή την άδεια παρασκευής ή εισαγωγής φαρμακευτικών προϊόντων προέλευσης τρίτων χωρών,</w:t>
      </w:r>
    </w:p>
    <w:p w14:paraId="49639BAE" w14:textId="77777777" w:rsidR="00A1149A" w:rsidRPr="0068733F" w:rsidRDefault="00A1149A" w:rsidP="00C570FB">
      <w:pPr>
        <w:pStyle w:val="indent10"/>
        <w:spacing w:before="120" w:beforeAutospacing="0" w:after="120" w:afterAutospacing="0"/>
        <w:ind w:left="448"/>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(ζ) να διασφαλίζει την ύπαρξη κατάλληλων και αποτελεσματικών μέσων ελέγχου της διαφήμισης φαρμακευτικών προϊόντων,</w:t>
      </w:r>
    </w:p>
    <w:p w14:paraId="0D583336" w14:textId="77777777" w:rsidR="00A1149A" w:rsidRPr="0068733F" w:rsidRDefault="00A1149A" w:rsidP="00C570FB">
      <w:pPr>
        <w:pStyle w:val="indent10"/>
        <w:spacing w:before="120" w:beforeAutospacing="0" w:after="120" w:afterAutospacing="0"/>
        <w:ind w:left="448"/>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(η) να προβαίνει στην κατάταξη φαρμακευτικών προϊόντων σε κατηγορίες που χορηγούνται με ή χωρίς ιατρική συνταγή,</w:t>
      </w:r>
    </w:p>
    <w:p w14:paraId="0BB15FA9" w14:textId="77777777" w:rsidR="00A1149A" w:rsidRPr="0068733F" w:rsidRDefault="00A1149A" w:rsidP="00C570FB">
      <w:pPr>
        <w:pStyle w:val="indent10"/>
        <w:spacing w:before="120" w:beforeAutospacing="0" w:after="120" w:afterAutospacing="0"/>
        <w:ind w:left="448"/>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(θ) να εξετάζει και να εκδίδει άδειες χονδρικής πώλησης φαρμακευτικών προϊόντων,</w:t>
      </w:r>
    </w:p>
    <w:p w14:paraId="2EAF7CFC" w14:textId="77777777" w:rsidR="00A1149A" w:rsidRPr="0068733F" w:rsidRDefault="00A1149A" w:rsidP="00C570FB">
      <w:pPr>
        <w:pStyle w:val="indent10"/>
        <w:spacing w:before="120" w:beforeAutospacing="0" w:after="120" w:afterAutospacing="0"/>
        <w:ind w:left="448"/>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(ι) να ανακαλεί και να αναστέλλει άδειες χονδρικής πώλησης φαρμακευτικών προϊόντων,</w:t>
      </w:r>
    </w:p>
    <w:p w14:paraId="1D5A97EE" w14:textId="77777777" w:rsidR="00A1149A" w:rsidRPr="0068733F" w:rsidRDefault="00A1149A" w:rsidP="00C570FB">
      <w:pPr>
        <w:pStyle w:val="indent10"/>
        <w:spacing w:before="120" w:beforeAutospacing="0" w:after="120" w:afterAutospacing="0"/>
        <w:ind w:left="448"/>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(ια) να γνωστοποιεί στην Επιτροπή Φαρμακευτικών Προϊόντων κάθε απόφασή του για έκδοση άδειας κυκλοφορίας, μη έκδοση ή ανάκληση αυτής, απαγόρευσης της κυκλοφορίας και απόσυρσης από την κυκλοφορία αναφέροντας τους λόγους που στηρίζουν αυτή, καθώς επίσης κάθε ακυρωτική δικαστική απόφαση μη έκδοσης ή ανάκλησης άδειας κυκλοφορίας,</w:t>
      </w:r>
    </w:p>
    <w:p w14:paraId="37834AC5" w14:textId="77777777" w:rsidR="00A1149A" w:rsidRPr="0068733F" w:rsidRDefault="00A1149A" w:rsidP="00C570FB">
      <w:pPr>
        <w:pStyle w:val="indent10"/>
        <w:spacing w:before="120" w:beforeAutospacing="0" w:after="120" w:afterAutospacing="0"/>
        <w:ind w:left="448"/>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(ιβ) να ενημερώνει την Παγκόσμια Οργάνωση Υγείας και την Επιτροπή για κάθε ενέργεια που αναφέρεται στην παράγραφο (ια) και η οποία μπορεί να επηρεάσει την προστασία της δημόσιας υγείας σε τρίτες χώρες,</w:t>
      </w:r>
    </w:p>
    <w:p w14:paraId="42D84214" w14:textId="77777777" w:rsidR="00A1149A" w:rsidRPr="0068733F" w:rsidRDefault="00A1149A" w:rsidP="00C570FB">
      <w:pPr>
        <w:pStyle w:val="indent10"/>
        <w:spacing w:before="120" w:beforeAutospacing="0" w:after="120" w:afterAutospacing="0"/>
        <w:ind w:left="448"/>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(ιγ) να γνωστοποιεί στην Επιτροπή Φαρμακευτικών Προϊόντων, στην Επιτροπή και στην Παγκόσμια Οργάνωση Υγείας κάθε ενέργεια που αναφέρεται στην παράγραφο (β) του άρθρου 14,</w:t>
      </w:r>
    </w:p>
    <w:p w14:paraId="7D6BE349" w14:textId="77777777" w:rsidR="00A1149A" w:rsidRPr="0068733F" w:rsidRDefault="00A1149A" w:rsidP="00C570FB">
      <w:pPr>
        <w:pStyle w:val="indent10"/>
        <w:spacing w:before="120" w:beforeAutospacing="0" w:after="120" w:afterAutospacing="0"/>
        <w:ind w:left="448"/>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(ιδ) να αποτελεί την εθνική αρμόδια αρχή για την τήρηση και εφαρμογή των διατάξεων του Κατ' εξουσιοδότηση Κανονισμού (ΕΕ) 2016/161,</w:t>
      </w:r>
    </w:p>
    <w:p w14:paraId="2EFB688C" w14:textId="77777777" w:rsidR="00A1149A" w:rsidRPr="0068733F" w:rsidRDefault="00A1149A" w:rsidP="00C570FB">
      <w:pPr>
        <w:pStyle w:val="indent10"/>
        <w:spacing w:before="120" w:beforeAutospacing="0" w:after="120" w:afterAutospacing="0"/>
        <w:ind w:left="448"/>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(ιε) να εκτελεί ό,τι άλλο καθήκον ή αρμοδιότητα του ανατεθεί από τις διατάξεις του παρόντος Νόμου,</w:t>
      </w:r>
    </w:p>
    <w:p w14:paraId="7DE6949A" w14:textId="77777777" w:rsidR="00A1149A" w:rsidRPr="0068733F" w:rsidRDefault="00A1149A" w:rsidP="00C570FB">
      <w:pPr>
        <w:pStyle w:val="indent10"/>
        <w:spacing w:before="120" w:beforeAutospacing="0" w:after="120" w:afterAutospacing="0"/>
        <w:ind w:left="448"/>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(ιστ) έως την 20</w:t>
      </w:r>
      <w:r w:rsidRPr="0068733F">
        <w:rPr>
          <w:rFonts w:ascii="Bookman Old Style" w:hAnsi="Bookman Old Style"/>
          <w:i/>
          <w:iCs/>
          <w:color w:val="000000"/>
          <w:sz w:val="26"/>
          <w:szCs w:val="26"/>
          <w:vertAlign w:val="superscript"/>
          <w:lang w:val="el-GR"/>
        </w:rPr>
        <w:t>ή</w:t>
      </w:r>
      <w:r w:rsidRPr="00A1149A">
        <w:rPr>
          <w:rFonts w:ascii="Bookman Old Style" w:hAnsi="Bookman Old Style"/>
          <w:i/>
          <w:iCs/>
          <w:color w:val="000000"/>
          <w:sz w:val="26"/>
          <w:szCs w:val="26"/>
        </w:rPr>
        <w:t> </w:t>
      </w:r>
      <w:r w:rsidRPr="0068733F">
        <w:rPr>
          <w:rFonts w:ascii="Bookman Old Style" w:hAnsi="Bookman Old Style"/>
          <w:i/>
          <w:iCs/>
          <w:color w:val="000000"/>
          <w:sz w:val="26"/>
          <w:szCs w:val="26"/>
          <w:lang w:val="el-GR"/>
        </w:rPr>
        <w:t>Μαΐου 2022, να συντάσσει, να κοινοποιεί στην Επιτροπή και να δημοσιεύει στον δικτυακό τόπο των Φαρμακευτικών Υπηρεσιών κατάλογο φαρμακευτικών προϊόντων για τα οποία έχουν υποβάλει ή προτίθενται να υποβάλουν αίτηση για υπαγωγή στις παρεκκλίσεις που θεσπίζονται στην Οδηγία (ΕΕ) 2022/642·</w:t>
      </w:r>
    </w:p>
    <w:p w14:paraId="11DFDEAB" w14:textId="77777777" w:rsidR="00A1149A" w:rsidRPr="0068733F" w:rsidRDefault="00A1149A" w:rsidP="003A4838">
      <w:pPr>
        <w:pStyle w:val="indent10"/>
        <w:spacing w:before="0" w:beforeAutospacing="0" w:after="0" w:afterAutospacing="0"/>
        <w:ind w:left="450"/>
        <w:jc w:val="both"/>
        <w:rPr>
          <w:rFonts w:ascii="Bookman Old Style" w:hAnsi="Bookman Old Style"/>
          <w:color w:val="000000"/>
          <w:sz w:val="26"/>
          <w:szCs w:val="26"/>
          <w:lang w:val="el-GR"/>
        </w:rPr>
      </w:pPr>
      <w:r w:rsidRPr="0068733F">
        <w:rPr>
          <w:rFonts w:ascii="Bookman Old Style" w:hAnsi="Bookman Old Style"/>
          <w:i/>
          <w:iCs/>
          <w:color w:val="000000"/>
          <w:sz w:val="26"/>
          <w:szCs w:val="26"/>
          <w:lang w:val="el-GR"/>
        </w:rPr>
        <w:t>(ιζ) να μεριμνά για την επικαιροποίηση και την ανεξάρτητη διαχείριση του καταλόγου που αναφέρεται στην παράγραφο (ιστ), τουλάχιστον ανά εξάμηνο</w:t>
      </w:r>
      <w:r w:rsidRPr="0068733F">
        <w:rPr>
          <w:rFonts w:ascii="Bookman Old Style" w:hAnsi="Bookman Old Style"/>
          <w:color w:val="000000"/>
          <w:sz w:val="26"/>
          <w:szCs w:val="26"/>
          <w:lang w:val="el-GR"/>
        </w:rPr>
        <w:t>.</w:t>
      </w:r>
    </w:p>
    <w:p w14:paraId="0FA884C6" w14:textId="77777777" w:rsidR="00F2219C" w:rsidRPr="0068733F" w:rsidRDefault="00F2219C" w:rsidP="003A4838">
      <w:pPr>
        <w:pStyle w:val="indent10"/>
        <w:spacing w:before="0" w:beforeAutospacing="0" w:after="0" w:afterAutospacing="0"/>
        <w:ind w:left="450"/>
        <w:jc w:val="both"/>
        <w:rPr>
          <w:rFonts w:ascii="Bookman Old Style" w:hAnsi="Bookman Old Style"/>
          <w:color w:val="000000"/>
          <w:sz w:val="26"/>
          <w:szCs w:val="26"/>
          <w:lang w:val="el-GR"/>
        </w:rPr>
      </w:pPr>
    </w:p>
    <w:p w14:paraId="76FC5051" w14:textId="77777777" w:rsidR="00F2219C" w:rsidRPr="0068733F" w:rsidRDefault="00F2219C" w:rsidP="003A4838">
      <w:pPr>
        <w:pStyle w:val="indent10"/>
        <w:spacing w:before="0" w:beforeAutospacing="0" w:after="0" w:afterAutospacing="0"/>
        <w:ind w:left="450"/>
        <w:jc w:val="both"/>
        <w:rPr>
          <w:rFonts w:ascii="Bookman Old Style" w:hAnsi="Bookman Old Style"/>
          <w:color w:val="000000"/>
          <w:sz w:val="26"/>
          <w:szCs w:val="26"/>
          <w:lang w:val="el-GR"/>
        </w:rPr>
      </w:pPr>
    </w:p>
    <w:p w14:paraId="210273F7" w14:textId="77777777" w:rsidR="00390C25" w:rsidRPr="0068733F" w:rsidRDefault="00390C25" w:rsidP="003A4838">
      <w:pPr>
        <w:pStyle w:val="indent10"/>
        <w:spacing w:before="0" w:beforeAutospacing="0" w:after="0" w:afterAutospacing="0"/>
        <w:ind w:left="450"/>
        <w:jc w:val="both"/>
        <w:rPr>
          <w:rFonts w:ascii="Bookman Old Style" w:hAnsi="Bookman Old Style"/>
          <w:color w:val="000000"/>
          <w:sz w:val="26"/>
          <w:szCs w:val="26"/>
          <w:lang w:val="el-GR"/>
        </w:rPr>
      </w:pPr>
    </w:p>
    <w:p w14:paraId="6EAD03D7" w14:textId="3970553D" w:rsidR="005768FF" w:rsidRDefault="00A1149A" w:rsidP="003A4838">
      <w:pPr>
        <w:spacing w:line="480" w:lineRule="auto"/>
        <w:ind w:right="-35"/>
        <w:jc w:val="both"/>
        <w:rPr>
          <w:rFonts w:ascii="Bookman Old Style" w:hAnsi="Bookman Old Style" w:cs="Arial"/>
          <w:sz w:val="28"/>
          <w:szCs w:val="28"/>
          <w:lang w:val="el-GR"/>
        </w:rPr>
      </w:pPr>
      <w:r w:rsidRPr="00A1149A">
        <w:rPr>
          <w:rFonts w:ascii="Bookman Old Style" w:hAnsi="Bookman Old Style" w:cs="Arial"/>
          <w:sz w:val="28"/>
          <w:szCs w:val="28"/>
          <w:lang w:val="el-GR"/>
        </w:rPr>
        <w:t>Είναι σαφές από τ</w:t>
      </w:r>
      <w:r w:rsidR="00A44304">
        <w:rPr>
          <w:rFonts w:ascii="Bookman Old Style" w:hAnsi="Bookman Old Style" w:cs="Arial"/>
          <w:sz w:val="28"/>
          <w:szCs w:val="28"/>
          <w:lang w:val="el-GR"/>
        </w:rPr>
        <w:t>α</w:t>
      </w:r>
      <w:r w:rsidRPr="00A1149A">
        <w:rPr>
          <w:rFonts w:ascii="Bookman Old Style" w:hAnsi="Bookman Old Style" w:cs="Arial"/>
          <w:sz w:val="28"/>
          <w:szCs w:val="28"/>
          <w:lang w:val="el-GR"/>
        </w:rPr>
        <w:t xml:space="preserve"> πιο πάνω</w:t>
      </w:r>
      <w:r>
        <w:rPr>
          <w:rFonts w:ascii="Bookman Old Style" w:hAnsi="Bookman Old Style" w:cs="Arial"/>
          <w:sz w:val="28"/>
          <w:szCs w:val="28"/>
          <w:lang w:val="el-GR"/>
        </w:rPr>
        <w:t xml:space="preserve"> ότι το ποια προϊόντα αποτελούν </w:t>
      </w:r>
      <w:r w:rsidR="00A44304">
        <w:rPr>
          <w:rFonts w:ascii="Bookman Old Style" w:hAnsi="Bookman Old Style" w:cs="Arial"/>
          <w:sz w:val="28"/>
          <w:szCs w:val="28"/>
          <w:lang w:val="el-GR"/>
        </w:rPr>
        <w:t>«</w:t>
      </w:r>
      <w:r w:rsidRPr="00390C25">
        <w:rPr>
          <w:rFonts w:ascii="Bookman Old Style" w:hAnsi="Bookman Old Style" w:cs="Arial"/>
          <w:i/>
          <w:iCs/>
          <w:sz w:val="28"/>
          <w:szCs w:val="28"/>
          <w:lang w:val="el-GR"/>
        </w:rPr>
        <w:t>φαρμακευτικά προϊόντα</w:t>
      </w:r>
      <w:r w:rsidR="00A44304">
        <w:rPr>
          <w:rFonts w:ascii="Bookman Old Style" w:hAnsi="Bookman Old Style" w:cs="Arial"/>
          <w:sz w:val="28"/>
          <w:szCs w:val="28"/>
          <w:lang w:val="el-GR"/>
        </w:rPr>
        <w:t>»</w:t>
      </w:r>
      <w:r>
        <w:rPr>
          <w:rFonts w:ascii="Bookman Old Style" w:hAnsi="Bookman Old Style" w:cs="Arial"/>
          <w:sz w:val="28"/>
          <w:szCs w:val="28"/>
          <w:lang w:val="el-GR"/>
        </w:rPr>
        <w:t xml:space="preserve"> </w:t>
      </w:r>
      <w:r w:rsidR="00A44304">
        <w:rPr>
          <w:rFonts w:ascii="Bookman Old Style" w:hAnsi="Bookman Old Style" w:cs="Arial"/>
          <w:sz w:val="28"/>
          <w:szCs w:val="28"/>
          <w:lang w:val="el-GR"/>
        </w:rPr>
        <w:t xml:space="preserve"> τα καθορίζει ο Νόμος και ότι</w:t>
      </w:r>
      <w:r>
        <w:rPr>
          <w:rFonts w:ascii="Bookman Old Style" w:hAnsi="Bookman Old Style" w:cs="Arial"/>
          <w:sz w:val="28"/>
          <w:szCs w:val="28"/>
          <w:lang w:val="el-GR"/>
        </w:rPr>
        <w:t xml:space="preserve"> αρμόδιο για την έκδοση αδειών κυκλοφορίας για φαρμακευτικά </w:t>
      </w:r>
      <w:r w:rsidR="00A44304">
        <w:rPr>
          <w:rFonts w:ascii="Bookman Old Style" w:hAnsi="Bookman Old Style" w:cs="Arial"/>
          <w:sz w:val="28"/>
          <w:szCs w:val="28"/>
          <w:lang w:val="el-GR"/>
        </w:rPr>
        <w:t>προϊόντα είναι το Συμβούλιο Φαρμάκων.</w:t>
      </w:r>
      <w:r>
        <w:rPr>
          <w:rFonts w:ascii="Bookman Old Style" w:hAnsi="Bookman Old Style" w:cs="Arial"/>
          <w:sz w:val="28"/>
          <w:szCs w:val="28"/>
          <w:lang w:val="el-GR"/>
        </w:rPr>
        <w:t xml:space="preserve"> </w:t>
      </w:r>
      <w:r w:rsidR="00A44304">
        <w:rPr>
          <w:rFonts w:ascii="Bookman Old Style" w:hAnsi="Bookman Old Style" w:cs="Arial"/>
          <w:sz w:val="28"/>
          <w:szCs w:val="28"/>
          <w:lang w:val="el-GR"/>
        </w:rPr>
        <w:t>Το ζήτημα κατά πόσο τα προϊόντα από κανναβιδιόλη ορθά καθορίστηκαν από το</w:t>
      </w:r>
      <w:r w:rsidR="00A44304" w:rsidRPr="00A44304">
        <w:rPr>
          <w:rFonts w:ascii="Bookman Old Style" w:hAnsi="Bookman Old Style" w:cs="Arial"/>
          <w:sz w:val="28"/>
          <w:szCs w:val="28"/>
          <w:lang w:val="el-GR"/>
        </w:rPr>
        <w:t xml:space="preserve"> </w:t>
      </w:r>
      <w:r w:rsidR="00A44304">
        <w:rPr>
          <w:rFonts w:ascii="Bookman Old Style" w:hAnsi="Bookman Old Style" w:cs="Arial"/>
          <w:sz w:val="28"/>
          <w:szCs w:val="28"/>
          <w:lang w:val="el-GR"/>
        </w:rPr>
        <w:t>Συμβούλιο Φαρμάκων ως φαρμακευτικά προϊόντα δεν είναι επί του παρόντος και</w:t>
      </w:r>
      <w:r w:rsidR="0069223F">
        <w:rPr>
          <w:rFonts w:ascii="Bookman Old Style" w:hAnsi="Bookman Old Style" w:cs="Arial"/>
          <w:sz w:val="28"/>
          <w:szCs w:val="28"/>
          <w:lang w:val="el-GR"/>
        </w:rPr>
        <w:t xml:space="preserve"> </w:t>
      </w:r>
      <w:r w:rsidR="00A44304">
        <w:rPr>
          <w:rFonts w:ascii="Bookman Old Style" w:hAnsi="Bookman Old Style" w:cs="Arial"/>
          <w:sz w:val="28"/>
          <w:szCs w:val="28"/>
          <w:lang w:val="el-GR"/>
        </w:rPr>
        <w:t xml:space="preserve">σε αυτό το πλαίσιο που θα εξετασθεί και θα αποφασισθεί. </w:t>
      </w:r>
      <w:r w:rsidR="00390C25">
        <w:rPr>
          <w:rFonts w:ascii="Bookman Old Style" w:hAnsi="Bookman Old Style" w:cs="Arial"/>
          <w:sz w:val="28"/>
          <w:szCs w:val="28"/>
          <w:lang w:val="el-GR"/>
        </w:rPr>
        <w:t>Ό,τι</w:t>
      </w:r>
      <w:r w:rsidR="0069223F">
        <w:rPr>
          <w:rFonts w:ascii="Bookman Old Style" w:hAnsi="Bookman Old Style" w:cs="Arial"/>
          <w:sz w:val="28"/>
          <w:szCs w:val="28"/>
          <w:lang w:val="el-GR"/>
        </w:rPr>
        <w:t>,</w:t>
      </w:r>
      <w:r w:rsidR="00390C25">
        <w:rPr>
          <w:rFonts w:ascii="Bookman Old Style" w:hAnsi="Bookman Old Style" w:cs="Arial"/>
          <w:sz w:val="28"/>
          <w:szCs w:val="28"/>
          <w:lang w:val="el-GR"/>
        </w:rPr>
        <w:t xml:space="preserve"> εν προκειμένω</w:t>
      </w:r>
      <w:r w:rsidR="0069223F">
        <w:rPr>
          <w:rFonts w:ascii="Bookman Old Style" w:hAnsi="Bookman Old Style" w:cs="Arial"/>
          <w:sz w:val="28"/>
          <w:szCs w:val="28"/>
          <w:lang w:val="el-GR"/>
        </w:rPr>
        <w:t>,</w:t>
      </w:r>
      <w:r w:rsidR="00390C25">
        <w:rPr>
          <w:rFonts w:ascii="Bookman Old Style" w:hAnsi="Bookman Old Style" w:cs="Arial"/>
          <w:sz w:val="28"/>
          <w:szCs w:val="28"/>
          <w:lang w:val="el-GR"/>
        </w:rPr>
        <w:t xml:space="preserve"> έχει σημασία είναι το γεγονός ότι </w:t>
      </w:r>
      <w:r w:rsidR="00A44304">
        <w:rPr>
          <w:rFonts w:ascii="Bookman Old Style" w:hAnsi="Bookman Old Style" w:cs="Arial"/>
          <w:sz w:val="28"/>
          <w:szCs w:val="28"/>
          <w:lang w:val="el-GR"/>
        </w:rPr>
        <w:t xml:space="preserve">το υπό κρίση Ένταλμα βασίστηκε σε απόφαση του Συμβουλίου </w:t>
      </w:r>
      <w:r w:rsidR="00C570FB">
        <w:rPr>
          <w:rFonts w:ascii="Bookman Old Style" w:hAnsi="Bookman Old Style" w:cs="Arial"/>
          <w:sz w:val="28"/>
          <w:szCs w:val="28"/>
          <w:lang w:val="el-GR"/>
        </w:rPr>
        <w:t>Φαρ</w:t>
      </w:r>
      <w:r w:rsidR="00A44304">
        <w:rPr>
          <w:rFonts w:ascii="Bookman Old Style" w:hAnsi="Bookman Old Style" w:cs="Arial"/>
          <w:sz w:val="28"/>
          <w:szCs w:val="28"/>
          <w:lang w:val="el-GR"/>
        </w:rPr>
        <w:t>μάκων</w:t>
      </w:r>
      <w:r w:rsidR="00C570FB" w:rsidRPr="00C570FB">
        <w:rPr>
          <w:rFonts w:ascii="Bookman Old Style" w:hAnsi="Bookman Old Style" w:cs="Arial"/>
          <w:sz w:val="28"/>
          <w:szCs w:val="28"/>
          <w:lang w:val="el-GR"/>
        </w:rPr>
        <w:t>.</w:t>
      </w:r>
      <w:r w:rsidR="00A44304">
        <w:rPr>
          <w:rFonts w:ascii="Bookman Old Style" w:hAnsi="Bookman Old Style" w:cs="Arial"/>
          <w:sz w:val="28"/>
          <w:szCs w:val="28"/>
          <w:lang w:val="el-GR"/>
        </w:rPr>
        <w:t xml:space="preserve">  </w:t>
      </w:r>
    </w:p>
    <w:p w14:paraId="03E3D31F" w14:textId="77777777" w:rsidR="009356E4" w:rsidRPr="00A1149A" w:rsidRDefault="009356E4" w:rsidP="003A4838">
      <w:pPr>
        <w:spacing w:line="480" w:lineRule="auto"/>
        <w:ind w:right="-35"/>
        <w:jc w:val="both"/>
        <w:rPr>
          <w:rFonts w:ascii="Bookman Old Style" w:hAnsi="Bookman Old Style" w:cs="Arial"/>
          <w:sz w:val="28"/>
          <w:szCs w:val="28"/>
          <w:lang w:val="el-GR"/>
        </w:rPr>
      </w:pPr>
    </w:p>
    <w:p w14:paraId="45D2787C" w14:textId="7754993A" w:rsidR="009C1752" w:rsidRDefault="00CB356C" w:rsidP="00A1149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Μέσω του </w:t>
      </w:r>
      <w:r w:rsidRPr="00CB356C">
        <w:rPr>
          <w:rFonts w:ascii="Bookman Old Style" w:hAnsi="Bookman Old Style" w:cs="Arial"/>
          <w:b/>
          <w:bCs/>
          <w:sz w:val="28"/>
          <w:szCs w:val="28"/>
          <w:lang w:val="el-GR"/>
        </w:rPr>
        <w:t>2</w:t>
      </w:r>
      <w:r w:rsidRPr="00CB356C">
        <w:rPr>
          <w:rFonts w:ascii="Bookman Old Style" w:hAnsi="Bookman Old Style" w:cs="Arial"/>
          <w:b/>
          <w:bCs/>
          <w:sz w:val="28"/>
          <w:szCs w:val="28"/>
          <w:vertAlign w:val="superscript"/>
          <w:lang w:val="el-GR"/>
        </w:rPr>
        <w:t>ου</w:t>
      </w:r>
      <w:r w:rsidRPr="00CB356C">
        <w:rPr>
          <w:rFonts w:ascii="Bookman Old Style" w:hAnsi="Bookman Old Style" w:cs="Arial"/>
          <w:b/>
          <w:bCs/>
          <w:sz w:val="28"/>
          <w:szCs w:val="28"/>
          <w:lang w:val="el-GR"/>
        </w:rPr>
        <w:t xml:space="preserve"> νομικού Λόγου</w:t>
      </w:r>
      <w:r>
        <w:rPr>
          <w:rFonts w:ascii="Bookman Old Style" w:hAnsi="Bookman Old Style" w:cs="Arial"/>
          <w:b/>
          <w:bCs/>
          <w:sz w:val="28"/>
          <w:szCs w:val="28"/>
          <w:lang w:val="el-GR"/>
        </w:rPr>
        <w:t xml:space="preserve"> </w:t>
      </w:r>
      <w:r w:rsidR="00E05DEC">
        <w:rPr>
          <w:rFonts w:ascii="Bookman Old Style" w:hAnsi="Bookman Old Style" w:cs="Arial"/>
          <w:sz w:val="28"/>
          <w:szCs w:val="28"/>
          <w:lang w:val="el-GR"/>
        </w:rPr>
        <w:t xml:space="preserve">η Αιτήτρια </w:t>
      </w:r>
      <w:r w:rsidRPr="00CB356C">
        <w:rPr>
          <w:rFonts w:ascii="Bookman Old Style" w:hAnsi="Bookman Old Style" w:cs="Arial"/>
          <w:sz w:val="28"/>
          <w:szCs w:val="28"/>
          <w:lang w:val="el-GR"/>
        </w:rPr>
        <w:t>επικαλείται απόκρυψη ουσιωδών γεγονότων</w:t>
      </w:r>
      <w:r>
        <w:rPr>
          <w:rFonts w:ascii="Bookman Old Style" w:hAnsi="Bookman Old Style" w:cs="Arial"/>
          <w:sz w:val="28"/>
          <w:szCs w:val="28"/>
          <w:lang w:val="el-GR"/>
        </w:rPr>
        <w:t xml:space="preserve">. Ειδικότερα προβάλλεται ότι δεν </w:t>
      </w:r>
      <w:r w:rsidR="006A7131">
        <w:rPr>
          <w:rFonts w:ascii="Bookman Old Style" w:hAnsi="Bookman Old Style" w:cs="Arial"/>
          <w:sz w:val="28"/>
          <w:szCs w:val="28"/>
          <w:lang w:val="el-GR"/>
        </w:rPr>
        <w:t>αποκαλύφθηκε</w:t>
      </w:r>
      <w:r>
        <w:rPr>
          <w:rFonts w:ascii="Bookman Old Style" w:hAnsi="Bookman Old Style" w:cs="Arial"/>
          <w:sz w:val="28"/>
          <w:szCs w:val="28"/>
          <w:lang w:val="el-GR"/>
        </w:rPr>
        <w:t xml:space="preserve"> στο Δικαστήριο η «απόφαση» με την οποία, κατ</w:t>
      </w:r>
      <w:r w:rsidR="0069223F">
        <w:rPr>
          <w:rFonts w:ascii="Bookman Old Style" w:hAnsi="Bookman Old Style" w:cs="Arial"/>
          <w:sz w:val="28"/>
          <w:szCs w:val="28"/>
          <w:lang w:val="el-GR"/>
        </w:rPr>
        <w:t xml:space="preserve">’ </w:t>
      </w:r>
      <w:r>
        <w:rPr>
          <w:rFonts w:ascii="Bookman Old Style" w:hAnsi="Bookman Old Style" w:cs="Arial"/>
          <w:sz w:val="28"/>
          <w:szCs w:val="28"/>
          <w:lang w:val="el-GR"/>
        </w:rPr>
        <w:t>ισχυρισμό, το Συμβούλιο Φαρμάκων κατατάσσει τα σκευάσματα κανναβιδιόλης στην κατηγορία των φαρμάκων</w:t>
      </w:r>
      <w:r w:rsidR="006A7131">
        <w:rPr>
          <w:rFonts w:ascii="Bookman Old Style" w:hAnsi="Bookman Old Style" w:cs="Arial"/>
          <w:sz w:val="28"/>
          <w:szCs w:val="28"/>
          <w:lang w:val="el-GR"/>
        </w:rPr>
        <w:t>,</w:t>
      </w:r>
      <w:r>
        <w:rPr>
          <w:rFonts w:ascii="Bookman Old Style" w:hAnsi="Bookman Old Style" w:cs="Arial"/>
          <w:sz w:val="28"/>
          <w:szCs w:val="28"/>
          <w:lang w:val="el-GR"/>
        </w:rPr>
        <w:t xml:space="preserve"> ιδιαίτερα ενόψει του ότι </w:t>
      </w:r>
      <w:r w:rsidR="0079012B">
        <w:rPr>
          <w:rFonts w:ascii="Bookman Old Style" w:hAnsi="Bookman Old Style" w:cs="Arial"/>
          <w:sz w:val="28"/>
          <w:szCs w:val="28"/>
          <w:lang w:val="el-GR"/>
        </w:rPr>
        <w:t>υπάρχει εν ισχύ νομολογία του ΔΕΕ  σύμφωνα με την οποία η νομίμως παραγόμενη εντός της Ευρωπαϊκής Ένωσης κανναβιδιόλη</w:t>
      </w:r>
      <w:r w:rsidR="00B34D9B">
        <w:rPr>
          <w:rFonts w:ascii="Bookman Old Style" w:hAnsi="Bookman Old Style" w:cs="Arial"/>
          <w:sz w:val="28"/>
          <w:szCs w:val="28"/>
          <w:lang w:val="el-GR"/>
        </w:rPr>
        <w:t xml:space="preserve"> </w:t>
      </w:r>
      <w:r w:rsidR="006A7131">
        <w:rPr>
          <w:rFonts w:ascii="Bookman Old Style" w:hAnsi="Bookman Old Style" w:cs="Arial"/>
          <w:sz w:val="28"/>
          <w:szCs w:val="28"/>
          <w:lang w:val="el-GR"/>
        </w:rPr>
        <w:t xml:space="preserve">κατατάσσεται στο ελεύθερο εμπόριο και </w:t>
      </w:r>
      <w:r w:rsidR="0079012B">
        <w:rPr>
          <w:rFonts w:ascii="Bookman Old Style" w:hAnsi="Bookman Old Style" w:cs="Arial"/>
          <w:sz w:val="28"/>
          <w:szCs w:val="28"/>
          <w:lang w:val="el-GR"/>
        </w:rPr>
        <w:t>δεν δύναται να περιοριστεί αφού εμπίπτει εντός των Άρθρων 34 και 36 της Συνθήκης Λειτουργίας της Ευρωπαϊκής Ένωσης (ΣΛΕΕ)</w:t>
      </w:r>
      <w:r>
        <w:rPr>
          <w:rFonts w:ascii="Bookman Old Style" w:hAnsi="Bookman Old Style" w:cs="Arial"/>
          <w:sz w:val="28"/>
          <w:szCs w:val="28"/>
          <w:lang w:val="el-GR"/>
        </w:rPr>
        <w:t>.</w:t>
      </w:r>
    </w:p>
    <w:p w14:paraId="0A9E665A" w14:textId="77777777" w:rsidR="00BF2213" w:rsidRDefault="00BF2213" w:rsidP="00A1149A">
      <w:pPr>
        <w:spacing w:line="480" w:lineRule="auto"/>
        <w:ind w:right="-35"/>
        <w:jc w:val="both"/>
        <w:rPr>
          <w:rFonts w:ascii="Bookman Old Style" w:hAnsi="Bookman Old Style" w:cs="Arial"/>
          <w:sz w:val="28"/>
          <w:szCs w:val="28"/>
          <w:lang w:val="el-GR"/>
        </w:rPr>
      </w:pPr>
    </w:p>
    <w:p w14:paraId="39DB2625" w14:textId="459D586A" w:rsidR="00B34D9B" w:rsidRDefault="009356E4" w:rsidP="00A1149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Ο</w:t>
      </w:r>
      <w:r w:rsidR="00072B07">
        <w:rPr>
          <w:rFonts w:ascii="Bookman Old Style" w:hAnsi="Bookman Old Style" w:cs="Arial"/>
          <w:sz w:val="28"/>
          <w:szCs w:val="28"/>
          <w:lang w:val="el-GR"/>
        </w:rPr>
        <w:t>ύτε</w:t>
      </w:r>
      <w:r w:rsidR="00B34D9B">
        <w:rPr>
          <w:rFonts w:ascii="Bookman Old Style" w:hAnsi="Bookman Old Style" w:cs="Arial"/>
          <w:sz w:val="28"/>
          <w:szCs w:val="28"/>
          <w:lang w:val="el-GR"/>
        </w:rPr>
        <w:t xml:space="preserve"> η παρουσίαση της ίδιας της απόφασης του Συμβουλίου Φαρμάκων</w:t>
      </w:r>
      <w:r w:rsidR="00072B07">
        <w:rPr>
          <w:rFonts w:ascii="Bookman Old Style" w:hAnsi="Bookman Old Style" w:cs="Arial"/>
          <w:sz w:val="28"/>
          <w:szCs w:val="28"/>
          <w:lang w:val="el-GR"/>
        </w:rPr>
        <w:t>,</w:t>
      </w:r>
      <w:r w:rsidR="00072B07" w:rsidRPr="00072B07">
        <w:rPr>
          <w:rFonts w:ascii="Bookman Old Style" w:hAnsi="Bookman Old Style" w:cs="Arial"/>
          <w:sz w:val="28"/>
          <w:szCs w:val="28"/>
          <w:lang w:val="el-GR"/>
        </w:rPr>
        <w:t xml:space="preserve"> </w:t>
      </w:r>
      <w:r w:rsidR="00072B07">
        <w:rPr>
          <w:rFonts w:ascii="Bookman Old Style" w:hAnsi="Bookman Old Style" w:cs="Arial"/>
          <w:sz w:val="28"/>
          <w:szCs w:val="28"/>
          <w:lang w:val="el-GR"/>
        </w:rPr>
        <w:t xml:space="preserve">ούτε και </w:t>
      </w:r>
      <w:r w:rsidR="00F2219C">
        <w:rPr>
          <w:rFonts w:ascii="Bookman Old Style" w:hAnsi="Bookman Old Style" w:cs="Arial"/>
          <w:sz w:val="28"/>
          <w:szCs w:val="28"/>
          <w:lang w:val="el-GR"/>
        </w:rPr>
        <w:t>η παραπομπή</w:t>
      </w:r>
      <w:r w:rsidR="00072B07">
        <w:rPr>
          <w:rFonts w:ascii="Bookman Old Style" w:hAnsi="Bookman Old Style" w:cs="Arial"/>
          <w:sz w:val="28"/>
          <w:szCs w:val="28"/>
          <w:lang w:val="el-GR"/>
        </w:rPr>
        <w:t xml:space="preserve"> της Αιτήτριας στα Άρθρα 34 και 36 της ΣΛΕΕ</w:t>
      </w:r>
      <w:r w:rsidR="0033416E">
        <w:rPr>
          <w:rFonts w:ascii="Bookman Old Style" w:hAnsi="Bookman Old Style" w:cs="Arial"/>
          <w:sz w:val="28"/>
          <w:szCs w:val="28"/>
          <w:lang w:val="el-GR"/>
        </w:rPr>
        <w:t xml:space="preserve"> και στην απόφαση του ΔΕΕ </w:t>
      </w:r>
      <w:r w:rsidR="0033416E" w:rsidRPr="0033416E">
        <w:rPr>
          <w:rFonts w:ascii="Bookman Old Style" w:hAnsi="Bookman Old Style" w:cs="Arial"/>
          <w:b/>
          <w:bCs/>
          <w:i/>
          <w:iCs/>
          <w:sz w:val="28"/>
          <w:szCs w:val="28"/>
          <w:lang w:val="en-US"/>
        </w:rPr>
        <w:t>Case</w:t>
      </w:r>
      <w:r w:rsidR="0033416E" w:rsidRPr="0033416E">
        <w:rPr>
          <w:rFonts w:ascii="Bookman Old Style" w:hAnsi="Bookman Old Style" w:cs="Arial"/>
          <w:b/>
          <w:bCs/>
          <w:i/>
          <w:iCs/>
          <w:sz w:val="28"/>
          <w:szCs w:val="28"/>
          <w:lang w:val="el-GR"/>
        </w:rPr>
        <w:t xml:space="preserve"> </w:t>
      </w:r>
      <w:r w:rsidR="0033416E" w:rsidRPr="0033416E">
        <w:rPr>
          <w:rFonts w:ascii="Bookman Old Style" w:hAnsi="Bookman Old Style" w:cs="Arial"/>
          <w:b/>
          <w:bCs/>
          <w:i/>
          <w:iCs/>
          <w:sz w:val="28"/>
          <w:szCs w:val="28"/>
          <w:lang w:val="en-US"/>
        </w:rPr>
        <w:t>C</w:t>
      </w:r>
      <w:r w:rsidR="0033416E" w:rsidRPr="0033416E">
        <w:rPr>
          <w:rFonts w:ascii="Bookman Old Style" w:hAnsi="Bookman Old Style" w:cs="Arial"/>
          <w:b/>
          <w:bCs/>
          <w:i/>
          <w:iCs/>
          <w:sz w:val="28"/>
          <w:szCs w:val="28"/>
          <w:lang w:val="el-GR"/>
        </w:rPr>
        <w:t>-663/18</w:t>
      </w:r>
      <w:r w:rsidR="0069223F">
        <w:rPr>
          <w:rFonts w:ascii="Bookman Old Style" w:hAnsi="Bookman Old Style" w:cs="Arial"/>
          <w:i/>
          <w:iCs/>
          <w:sz w:val="28"/>
          <w:szCs w:val="28"/>
          <w:lang w:val="el-GR"/>
        </w:rPr>
        <w:t>,</w:t>
      </w:r>
      <w:r w:rsidR="00B34D9B">
        <w:rPr>
          <w:rFonts w:ascii="Bookman Old Style" w:hAnsi="Bookman Old Style" w:cs="Arial"/>
          <w:sz w:val="28"/>
          <w:szCs w:val="28"/>
          <w:lang w:val="el-GR"/>
        </w:rPr>
        <w:t xml:space="preserve"> </w:t>
      </w:r>
      <w:r w:rsidR="0033416E">
        <w:rPr>
          <w:rFonts w:ascii="Bookman Old Style" w:hAnsi="Bookman Old Style" w:cs="Arial"/>
          <w:sz w:val="28"/>
          <w:szCs w:val="28"/>
          <w:lang w:val="el-GR"/>
        </w:rPr>
        <w:t>ημερ.</w:t>
      </w:r>
      <w:r w:rsidR="0033416E" w:rsidRPr="0033416E">
        <w:rPr>
          <w:rFonts w:ascii="Bookman Old Style" w:hAnsi="Bookman Old Style" w:cs="Arial"/>
          <w:sz w:val="28"/>
          <w:szCs w:val="28"/>
          <w:lang w:val="el-GR"/>
        </w:rPr>
        <w:t xml:space="preserve"> 19/11/2020</w:t>
      </w:r>
      <w:r w:rsidR="0033416E">
        <w:rPr>
          <w:rStyle w:val="FootnoteReference"/>
          <w:rFonts w:ascii="Bookman Old Style" w:hAnsi="Bookman Old Style" w:cs="Arial"/>
          <w:sz w:val="28"/>
          <w:szCs w:val="28"/>
          <w:lang w:val="el-GR"/>
        </w:rPr>
        <w:footnoteReference w:id="3"/>
      </w:r>
      <w:r w:rsidR="0033416E" w:rsidRPr="0033416E">
        <w:rPr>
          <w:rFonts w:ascii="Bookman Old Style" w:hAnsi="Bookman Old Style" w:cs="Arial"/>
          <w:sz w:val="28"/>
          <w:szCs w:val="28"/>
          <w:lang w:val="el-GR"/>
        </w:rPr>
        <w:t xml:space="preserve"> </w:t>
      </w:r>
      <w:r w:rsidR="00B34D9B">
        <w:rPr>
          <w:rFonts w:ascii="Bookman Old Style" w:hAnsi="Bookman Old Style" w:cs="Arial"/>
          <w:sz w:val="28"/>
          <w:szCs w:val="28"/>
          <w:lang w:val="el-GR"/>
        </w:rPr>
        <w:t>θα μπορούσε</w:t>
      </w:r>
      <w:r>
        <w:rPr>
          <w:rFonts w:ascii="Bookman Old Style" w:hAnsi="Bookman Old Style" w:cs="Arial"/>
          <w:sz w:val="28"/>
          <w:szCs w:val="28"/>
          <w:lang w:val="el-GR"/>
        </w:rPr>
        <w:t>, θεωρώ,</w:t>
      </w:r>
      <w:r w:rsidR="00B34D9B">
        <w:rPr>
          <w:rFonts w:ascii="Bookman Old Style" w:hAnsi="Bookman Old Style" w:cs="Arial"/>
          <w:sz w:val="28"/>
          <w:szCs w:val="28"/>
          <w:lang w:val="el-GR"/>
        </w:rPr>
        <w:t xml:space="preserve"> να επιλύσει το εγειρόμενο από τ</w:t>
      </w:r>
      <w:r w:rsidR="00072B07">
        <w:rPr>
          <w:rFonts w:ascii="Bookman Old Style" w:hAnsi="Bookman Old Style" w:cs="Arial"/>
          <w:sz w:val="28"/>
          <w:szCs w:val="28"/>
          <w:lang w:val="el-GR"/>
        </w:rPr>
        <w:t>ην</w:t>
      </w:r>
      <w:r w:rsidR="00B34D9B">
        <w:rPr>
          <w:rFonts w:ascii="Bookman Old Style" w:hAnsi="Bookman Old Style" w:cs="Arial"/>
          <w:sz w:val="28"/>
          <w:szCs w:val="28"/>
          <w:lang w:val="el-GR"/>
        </w:rPr>
        <w:t xml:space="preserve"> Αιτ</w:t>
      </w:r>
      <w:r w:rsidR="00072B07">
        <w:rPr>
          <w:rFonts w:ascii="Bookman Old Style" w:hAnsi="Bookman Old Style" w:cs="Arial"/>
          <w:sz w:val="28"/>
          <w:szCs w:val="28"/>
          <w:lang w:val="el-GR"/>
        </w:rPr>
        <w:t>ήτρια</w:t>
      </w:r>
      <w:r w:rsidR="00B34D9B">
        <w:rPr>
          <w:rFonts w:ascii="Bookman Old Style" w:hAnsi="Bookman Old Style" w:cs="Arial"/>
          <w:sz w:val="28"/>
          <w:szCs w:val="28"/>
          <w:lang w:val="el-GR"/>
        </w:rPr>
        <w:t xml:space="preserve"> ζήτημα, ήτοι το κατά πόσο η κανναβιδιόλη αποτελεί ή όχι φαρμακευτικό προϊόν</w:t>
      </w:r>
      <w:r w:rsidR="00072B07">
        <w:rPr>
          <w:rFonts w:ascii="Bookman Old Style" w:hAnsi="Bookman Old Style" w:cs="Arial"/>
          <w:sz w:val="28"/>
          <w:szCs w:val="28"/>
          <w:lang w:val="el-GR"/>
        </w:rPr>
        <w:t>.</w:t>
      </w:r>
      <w:r w:rsidR="00643593">
        <w:rPr>
          <w:rFonts w:ascii="Bookman Old Style" w:hAnsi="Bookman Old Style" w:cs="Arial"/>
          <w:sz w:val="28"/>
          <w:szCs w:val="28"/>
          <w:lang w:val="el-GR"/>
        </w:rPr>
        <w:t xml:space="preserve"> Εν πάση περιπτώσει, ό,τι διερευνούσε η Αστυνομία στην προκε</w:t>
      </w:r>
      <w:r w:rsidR="0069223F">
        <w:rPr>
          <w:rFonts w:ascii="Bookman Old Style" w:hAnsi="Bookman Old Style" w:cs="Arial"/>
          <w:sz w:val="28"/>
          <w:szCs w:val="28"/>
          <w:lang w:val="el-GR"/>
        </w:rPr>
        <w:t>ίμε</w:t>
      </w:r>
      <w:r w:rsidR="00643593">
        <w:rPr>
          <w:rFonts w:ascii="Bookman Old Style" w:hAnsi="Bookman Old Style" w:cs="Arial"/>
          <w:sz w:val="28"/>
          <w:szCs w:val="28"/>
          <w:lang w:val="el-GR"/>
        </w:rPr>
        <w:t xml:space="preserve">νη περίπτωση ήταν αδικήματα που αφορούσαν στην </w:t>
      </w:r>
      <w:r w:rsidR="00643593" w:rsidRPr="00643593">
        <w:rPr>
          <w:rFonts w:ascii="Bookman Old Style" w:hAnsi="Bookman Old Style" w:cs="Arial"/>
          <w:b/>
          <w:bCs/>
          <w:sz w:val="28"/>
          <w:szCs w:val="28"/>
          <w:lang w:val="el-GR"/>
        </w:rPr>
        <w:t>κυκλοφορία</w:t>
      </w:r>
      <w:r w:rsidR="00643593">
        <w:rPr>
          <w:rFonts w:ascii="Bookman Old Style" w:hAnsi="Bookman Old Style" w:cs="Arial"/>
          <w:sz w:val="28"/>
          <w:szCs w:val="28"/>
          <w:lang w:val="el-GR"/>
        </w:rPr>
        <w:t xml:space="preserve"> εντός της Δημοκρατίας φαρμακευτικών </w:t>
      </w:r>
      <w:r w:rsidR="00643593" w:rsidRPr="001A7AC0">
        <w:rPr>
          <w:rFonts w:ascii="Bookman Old Style" w:hAnsi="Bookman Old Style" w:cs="Arial"/>
          <w:sz w:val="28"/>
          <w:szCs w:val="28"/>
          <w:lang w:val="el-GR"/>
        </w:rPr>
        <w:t>προϊόντων</w:t>
      </w:r>
      <w:r w:rsidR="00643593" w:rsidRPr="00643593">
        <w:rPr>
          <w:rFonts w:ascii="Bookman Old Style" w:hAnsi="Bookman Old Style" w:cs="Arial"/>
          <w:b/>
          <w:bCs/>
          <w:sz w:val="28"/>
          <w:szCs w:val="28"/>
          <w:lang w:val="el-GR"/>
        </w:rPr>
        <w:t xml:space="preserve"> χωρίς άδεια κυκλοφορίας</w:t>
      </w:r>
      <w:r w:rsidR="00643593">
        <w:rPr>
          <w:rFonts w:ascii="Bookman Old Style" w:hAnsi="Bookman Old Style" w:cs="Arial"/>
          <w:sz w:val="28"/>
          <w:szCs w:val="28"/>
          <w:lang w:val="el-GR"/>
        </w:rPr>
        <w:t xml:space="preserve">. </w:t>
      </w:r>
      <w:r w:rsidR="001A7AC0">
        <w:rPr>
          <w:rFonts w:ascii="Bookman Old Style" w:hAnsi="Bookman Old Style" w:cs="Arial"/>
          <w:sz w:val="28"/>
          <w:szCs w:val="28"/>
          <w:lang w:val="el-GR"/>
        </w:rPr>
        <w:t>Αυτά ήταν, μεταξύ άλλων, τα αδικήματα που η Αστυνομία διερευνούσε και τα οποία ουδεμία σχέση είχαν με</w:t>
      </w:r>
      <w:r w:rsidR="00643593">
        <w:rPr>
          <w:rFonts w:ascii="Bookman Old Style" w:hAnsi="Bookman Old Style" w:cs="Arial"/>
          <w:sz w:val="28"/>
          <w:szCs w:val="28"/>
          <w:lang w:val="el-GR"/>
        </w:rPr>
        <w:t xml:space="preserve"> απαγόρευση εισαγωγής, </w:t>
      </w:r>
      <w:r w:rsidR="001A7AC0">
        <w:rPr>
          <w:rFonts w:ascii="Bookman Old Style" w:hAnsi="Bookman Old Style" w:cs="Arial"/>
          <w:sz w:val="28"/>
          <w:szCs w:val="28"/>
          <w:lang w:val="el-GR"/>
        </w:rPr>
        <w:t>πώλησης και, γενικότερα, εμπορίας προϊόντων που περιέχουν την πιο πάνω ουσία όταν αυτή έχει παραχθεί σε άλλο κράτος μέλος της Ευρωπαϊκής Ένωσης</w:t>
      </w:r>
      <w:r w:rsidR="00EA1CAF">
        <w:rPr>
          <w:rFonts w:ascii="Bookman Old Style" w:hAnsi="Bookman Old Style" w:cs="Arial"/>
          <w:sz w:val="28"/>
          <w:szCs w:val="28"/>
          <w:lang w:val="el-GR"/>
        </w:rPr>
        <w:t xml:space="preserve"> (βλ. </w:t>
      </w:r>
      <w:r w:rsidR="00EA1CAF">
        <w:rPr>
          <w:rFonts w:ascii="Bookman Old Style" w:hAnsi="Bookman Old Style" w:cs="Arial"/>
          <w:b/>
          <w:bCs/>
          <w:i/>
          <w:iCs/>
          <w:sz w:val="28"/>
          <w:szCs w:val="28"/>
          <w:lang w:val="el-GR"/>
        </w:rPr>
        <w:t xml:space="preserve">Αναφορικά με την Αίτηση του Κ.Κ. για την καταχώρηση αίτησης για την έκδοση εντάλματος </w:t>
      </w:r>
      <w:r w:rsidR="00EA1CAF">
        <w:rPr>
          <w:rFonts w:ascii="Bookman Old Style" w:hAnsi="Bookman Old Style" w:cs="Arial"/>
          <w:b/>
          <w:bCs/>
          <w:i/>
          <w:iCs/>
          <w:sz w:val="28"/>
          <w:szCs w:val="28"/>
          <w:lang w:val="en-US"/>
        </w:rPr>
        <w:t>Certiorari</w:t>
      </w:r>
      <w:r w:rsidR="00EA1CAF">
        <w:rPr>
          <w:rFonts w:ascii="Bookman Old Style" w:hAnsi="Bookman Old Style" w:cs="Arial"/>
          <w:b/>
          <w:bCs/>
          <w:i/>
          <w:iCs/>
          <w:sz w:val="28"/>
          <w:szCs w:val="28"/>
          <w:lang w:val="el-GR"/>
        </w:rPr>
        <w:t>, Πολιτική Έφεση Αρ. 277/2021, ημερ. 20/3/2023</w:t>
      </w:r>
      <w:r w:rsidR="00EA1CAF" w:rsidRPr="00EA1CAF">
        <w:rPr>
          <w:rFonts w:ascii="Bookman Old Style" w:hAnsi="Bookman Old Style" w:cs="Arial"/>
          <w:sz w:val="28"/>
          <w:szCs w:val="28"/>
          <w:lang w:val="el-GR"/>
        </w:rPr>
        <w:t>)</w:t>
      </w:r>
      <w:r w:rsidR="001A7AC0">
        <w:rPr>
          <w:rFonts w:ascii="Bookman Old Style" w:hAnsi="Bookman Old Style" w:cs="Arial"/>
          <w:sz w:val="28"/>
          <w:szCs w:val="28"/>
          <w:lang w:val="el-GR"/>
        </w:rPr>
        <w:t>.</w:t>
      </w:r>
    </w:p>
    <w:p w14:paraId="0E10AA14" w14:textId="77777777" w:rsidR="00B34D9B" w:rsidRDefault="00B34D9B" w:rsidP="00A1149A">
      <w:pPr>
        <w:spacing w:line="480" w:lineRule="auto"/>
        <w:ind w:right="-35"/>
        <w:jc w:val="both"/>
        <w:rPr>
          <w:rFonts w:ascii="Bookman Old Style" w:hAnsi="Bookman Old Style" w:cs="Arial"/>
          <w:sz w:val="28"/>
          <w:szCs w:val="28"/>
          <w:lang w:val="el-GR"/>
        </w:rPr>
      </w:pPr>
    </w:p>
    <w:p w14:paraId="75DA2C6C" w14:textId="20180B57" w:rsidR="00B34D9B" w:rsidRDefault="00B34D9B" w:rsidP="00A1149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τον </w:t>
      </w:r>
      <w:r w:rsidRPr="00E57E62">
        <w:rPr>
          <w:rFonts w:ascii="Bookman Old Style" w:hAnsi="Bookman Old Style" w:cs="Arial"/>
          <w:b/>
          <w:bCs/>
          <w:sz w:val="28"/>
          <w:szCs w:val="28"/>
          <w:lang w:val="el-GR"/>
        </w:rPr>
        <w:t>3</w:t>
      </w:r>
      <w:r w:rsidRPr="00E57E62">
        <w:rPr>
          <w:rFonts w:ascii="Bookman Old Style" w:hAnsi="Bookman Old Style" w:cs="Arial"/>
          <w:b/>
          <w:bCs/>
          <w:sz w:val="28"/>
          <w:szCs w:val="28"/>
          <w:vertAlign w:val="superscript"/>
          <w:lang w:val="el-GR"/>
        </w:rPr>
        <w:t>ο</w:t>
      </w:r>
      <w:r w:rsidRPr="00E57E62">
        <w:rPr>
          <w:rFonts w:ascii="Bookman Old Style" w:hAnsi="Bookman Old Style" w:cs="Arial"/>
          <w:b/>
          <w:bCs/>
          <w:sz w:val="28"/>
          <w:szCs w:val="28"/>
          <w:lang w:val="el-GR"/>
        </w:rPr>
        <w:t xml:space="preserve"> νομικό Λόγο</w:t>
      </w:r>
      <w:r>
        <w:rPr>
          <w:rFonts w:ascii="Bookman Old Style" w:hAnsi="Bookman Old Style" w:cs="Arial"/>
          <w:sz w:val="28"/>
          <w:szCs w:val="28"/>
          <w:lang w:val="el-GR"/>
        </w:rPr>
        <w:t xml:space="preserve"> </w:t>
      </w:r>
      <w:r w:rsidR="00412E1D">
        <w:rPr>
          <w:rFonts w:ascii="Bookman Old Style" w:hAnsi="Bookman Old Style" w:cs="Arial"/>
          <w:sz w:val="28"/>
          <w:szCs w:val="28"/>
          <w:lang w:val="el-GR"/>
        </w:rPr>
        <w:t xml:space="preserve">η Αιτήτρια </w:t>
      </w:r>
      <w:r>
        <w:rPr>
          <w:rFonts w:ascii="Bookman Old Style" w:hAnsi="Bookman Old Style" w:cs="Arial"/>
          <w:sz w:val="28"/>
          <w:szCs w:val="28"/>
          <w:lang w:val="el-GR"/>
        </w:rPr>
        <w:t>διατείνεται ότι το υπό κρίση Ένταλμα Έρευνας πάσχει εφόσον τόσο στην αίτηση</w:t>
      </w:r>
      <w:r w:rsidR="0069223F">
        <w:rPr>
          <w:rFonts w:ascii="Bookman Old Style" w:hAnsi="Bookman Old Style" w:cs="Arial"/>
          <w:sz w:val="28"/>
          <w:szCs w:val="28"/>
          <w:lang w:val="el-GR"/>
        </w:rPr>
        <w:t>,</w:t>
      </w:r>
      <w:r>
        <w:rPr>
          <w:rFonts w:ascii="Bookman Old Style" w:hAnsi="Bookman Old Style" w:cs="Arial"/>
          <w:sz w:val="28"/>
          <w:szCs w:val="28"/>
          <w:lang w:val="el-GR"/>
        </w:rPr>
        <w:t xml:space="preserve"> όσο και στο Ένταλμα</w:t>
      </w:r>
      <w:r w:rsidR="0069223F">
        <w:rPr>
          <w:rFonts w:ascii="Bookman Old Style" w:hAnsi="Bookman Old Style" w:cs="Arial"/>
          <w:sz w:val="28"/>
          <w:szCs w:val="28"/>
          <w:lang w:val="el-GR"/>
        </w:rPr>
        <w:t>,</w:t>
      </w:r>
      <w:r>
        <w:rPr>
          <w:rFonts w:ascii="Bookman Old Style" w:hAnsi="Bookman Old Style" w:cs="Arial"/>
          <w:sz w:val="28"/>
          <w:szCs w:val="28"/>
          <w:lang w:val="el-GR"/>
        </w:rPr>
        <w:t xml:space="preserve"> δεν αναφέρονται τα συγκεκριμένα </w:t>
      </w:r>
      <w:r w:rsidR="00773409">
        <w:rPr>
          <w:rFonts w:ascii="Bookman Old Style" w:hAnsi="Bookman Old Style" w:cs="Arial"/>
          <w:sz w:val="28"/>
          <w:szCs w:val="28"/>
          <w:lang w:val="el-GR"/>
        </w:rPr>
        <w:t>αντικείμενα</w:t>
      </w:r>
      <w:r>
        <w:rPr>
          <w:rFonts w:ascii="Bookman Old Style" w:hAnsi="Bookman Old Style" w:cs="Arial"/>
          <w:sz w:val="28"/>
          <w:szCs w:val="28"/>
          <w:lang w:val="el-GR"/>
        </w:rPr>
        <w:t xml:space="preserve"> τα οποία αναζητούνται</w:t>
      </w:r>
      <w:r w:rsidR="0069223F">
        <w:rPr>
          <w:rFonts w:ascii="Bookman Old Style" w:hAnsi="Bookman Old Style" w:cs="Arial"/>
          <w:sz w:val="28"/>
          <w:szCs w:val="28"/>
          <w:lang w:val="el-GR"/>
        </w:rPr>
        <w:t>,</w:t>
      </w:r>
      <w:r>
        <w:rPr>
          <w:rFonts w:ascii="Bookman Old Style" w:hAnsi="Bookman Old Style" w:cs="Arial"/>
          <w:sz w:val="28"/>
          <w:szCs w:val="28"/>
          <w:lang w:val="el-GR"/>
        </w:rPr>
        <w:t xml:space="preserve"> αλλά η αναφορά είναι</w:t>
      </w:r>
      <w:r w:rsidR="00773409">
        <w:rPr>
          <w:rFonts w:ascii="Bookman Old Style" w:hAnsi="Bookman Old Style" w:cs="Arial"/>
          <w:sz w:val="28"/>
          <w:szCs w:val="28"/>
          <w:lang w:val="el-GR"/>
        </w:rPr>
        <w:t xml:space="preserve"> γενικά και αόριστα</w:t>
      </w:r>
      <w:r>
        <w:rPr>
          <w:rFonts w:ascii="Bookman Old Style" w:hAnsi="Bookman Old Style" w:cs="Arial"/>
          <w:sz w:val="28"/>
          <w:szCs w:val="28"/>
          <w:lang w:val="el-GR"/>
        </w:rPr>
        <w:t xml:space="preserve"> σε </w:t>
      </w:r>
      <w:r w:rsidR="00773409">
        <w:rPr>
          <w:rFonts w:ascii="Bookman Old Style" w:hAnsi="Bookman Old Style" w:cs="Arial"/>
          <w:sz w:val="28"/>
          <w:szCs w:val="28"/>
          <w:lang w:val="el-GR"/>
        </w:rPr>
        <w:t>«</w:t>
      </w:r>
      <w:r w:rsidR="00773409" w:rsidRPr="009356E4">
        <w:rPr>
          <w:rFonts w:ascii="Bookman Old Style" w:hAnsi="Bookman Old Style" w:cs="Arial"/>
          <w:i/>
          <w:iCs/>
          <w:sz w:val="28"/>
          <w:szCs w:val="28"/>
          <w:lang w:val="el-GR"/>
        </w:rPr>
        <w:t>προϊόντα που περιέχουν κανναβιδιόλη</w:t>
      </w:r>
      <w:r w:rsidR="00773409">
        <w:rPr>
          <w:rFonts w:ascii="Bookman Old Style" w:hAnsi="Bookman Old Style" w:cs="Arial"/>
          <w:sz w:val="28"/>
          <w:szCs w:val="28"/>
          <w:lang w:val="el-GR"/>
        </w:rPr>
        <w:t xml:space="preserve">». Ενώ με τον </w:t>
      </w:r>
      <w:r w:rsidR="00773409" w:rsidRPr="00773409">
        <w:rPr>
          <w:rFonts w:ascii="Bookman Old Style" w:hAnsi="Bookman Old Style" w:cs="Arial"/>
          <w:b/>
          <w:bCs/>
          <w:sz w:val="28"/>
          <w:szCs w:val="28"/>
          <w:lang w:val="el-GR"/>
        </w:rPr>
        <w:t>4</w:t>
      </w:r>
      <w:r w:rsidR="00773409" w:rsidRPr="00773409">
        <w:rPr>
          <w:rFonts w:ascii="Bookman Old Style" w:hAnsi="Bookman Old Style" w:cs="Arial"/>
          <w:b/>
          <w:bCs/>
          <w:sz w:val="28"/>
          <w:szCs w:val="28"/>
          <w:vertAlign w:val="superscript"/>
          <w:lang w:val="el-GR"/>
        </w:rPr>
        <w:t>ο</w:t>
      </w:r>
      <w:r w:rsidR="00773409" w:rsidRPr="00773409">
        <w:rPr>
          <w:rFonts w:ascii="Bookman Old Style" w:hAnsi="Bookman Old Style" w:cs="Arial"/>
          <w:b/>
          <w:bCs/>
          <w:sz w:val="28"/>
          <w:szCs w:val="28"/>
          <w:lang w:val="el-GR"/>
        </w:rPr>
        <w:t xml:space="preserve"> νομικό Λόγο</w:t>
      </w:r>
      <w:r w:rsidR="00773409">
        <w:rPr>
          <w:rFonts w:ascii="Bookman Old Style" w:hAnsi="Bookman Old Style" w:cs="Arial"/>
          <w:sz w:val="28"/>
          <w:szCs w:val="28"/>
          <w:lang w:val="el-GR"/>
        </w:rPr>
        <w:t xml:space="preserve"> προβάλλεται ότι η αυθαίρετη κατάσχεση του συνόλου των εμπορευμάτων του καταστήματος δεν ήταν σε καμία περίπτωση ανάλογη του σκοπού που επιδιώχθηκε.</w:t>
      </w:r>
    </w:p>
    <w:p w14:paraId="4AC89282" w14:textId="77777777" w:rsidR="00E75C0B" w:rsidRDefault="00E75C0B" w:rsidP="00A1149A">
      <w:pPr>
        <w:spacing w:line="480" w:lineRule="auto"/>
        <w:ind w:right="-35"/>
        <w:jc w:val="both"/>
        <w:rPr>
          <w:rFonts w:ascii="Bookman Old Style" w:hAnsi="Bookman Old Style" w:cs="Arial"/>
          <w:sz w:val="28"/>
          <w:szCs w:val="28"/>
          <w:lang w:val="el-GR"/>
        </w:rPr>
      </w:pPr>
    </w:p>
    <w:p w14:paraId="1A7201C6" w14:textId="3206A283" w:rsidR="00E57E62" w:rsidRDefault="00E57E62" w:rsidP="00A1149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Είναι, βεβαίως, επιβεβλημένο να υπάρχει στο ένταλμα συγκεκριμένη περιγραφή των πραγμάτων και αντικειμένων τα οποία η Αστυνομία μπορεί να εντοπίσει και να παραλάβει στον υπό έρευνα χώρο, ούτως ώστε να μην παρέχεται «</w:t>
      </w:r>
      <w:r>
        <w:rPr>
          <w:rFonts w:ascii="Bookman Old Style" w:hAnsi="Bookman Old Style" w:cs="Arial"/>
          <w:i/>
          <w:iCs/>
          <w:sz w:val="28"/>
          <w:szCs w:val="28"/>
          <w:lang w:val="el-GR"/>
        </w:rPr>
        <w:t>ανεπίτρεπτα ευρεία διακριτική εξουσία</w:t>
      </w:r>
      <w:r>
        <w:rPr>
          <w:rFonts w:ascii="Bookman Old Style" w:hAnsi="Bookman Old Style" w:cs="Arial"/>
          <w:sz w:val="28"/>
          <w:szCs w:val="28"/>
          <w:lang w:val="el-GR"/>
        </w:rPr>
        <w:t>» ως προς το τι είναι δυνατό να αναζητηθεί και να παραληφθεί</w:t>
      </w:r>
      <w:r w:rsidR="000435F3">
        <w:rPr>
          <w:rFonts w:ascii="Bookman Old Style" w:hAnsi="Bookman Old Style" w:cs="Arial"/>
          <w:sz w:val="28"/>
          <w:szCs w:val="28"/>
          <w:lang w:val="el-GR"/>
        </w:rPr>
        <w:t xml:space="preserve"> (βλ. </w:t>
      </w:r>
      <w:r w:rsidR="000435F3">
        <w:rPr>
          <w:rFonts w:ascii="Bookman Old Style" w:hAnsi="Bookman Old Style" w:cs="Arial"/>
          <w:b/>
          <w:bCs/>
          <w:i/>
          <w:iCs/>
          <w:sz w:val="28"/>
          <w:szCs w:val="28"/>
          <w:lang w:val="en-US"/>
        </w:rPr>
        <w:t>ERA</w:t>
      </w:r>
      <w:r w:rsidR="000435F3" w:rsidRPr="00AC0FEF">
        <w:rPr>
          <w:rFonts w:ascii="Bookman Old Style" w:hAnsi="Bookman Old Style" w:cs="Arial"/>
          <w:b/>
          <w:bCs/>
          <w:i/>
          <w:iCs/>
          <w:sz w:val="28"/>
          <w:szCs w:val="28"/>
          <w:lang w:val="el-GR"/>
        </w:rPr>
        <w:t xml:space="preserve"> </w:t>
      </w:r>
      <w:r w:rsidR="000435F3">
        <w:rPr>
          <w:rFonts w:ascii="Bookman Old Style" w:hAnsi="Bookman Old Style" w:cs="Arial"/>
          <w:b/>
          <w:bCs/>
          <w:i/>
          <w:iCs/>
          <w:sz w:val="28"/>
          <w:szCs w:val="28"/>
          <w:lang w:val="en-US"/>
        </w:rPr>
        <w:t>CYPRUS</w:t>
      </w:r>
      <w:r w:rsidR="000435F3" w:rsidRPr="00AC0FEF">
        <w:rPr>
          <w:rFonts w:ascii="Bookman Old Style" w:hAnsi="Bookman Old Style" w:cs="Arial"/>
          <w:b/>
          <w:bCs/>
          <w:i/>
          <w:iCs/>
          <w:sz w:val="28"/>
          <w:szCs w:val="28"/>
          <w:lang w:val="el-GR"/>
        </w:rPr>
        <w:t xml:space="preserve"> </w:t>
      </w:r>
      <w:r w:rsidR="000435F3">
        <w:rPr>
          <w:rFonts w:ascii="Bookman Old Style" w:hAnsi="Bookman Old Style" w:cs="Arial"/>
          <w:b/>
          <w:bCs/>
          <w:i/>
          <w:iCs/>
          <w:sz w:val="28"/>
          <w:szCs w:val="28"/>
          <w:lang w:val="en-US"/>
        </w:rPr>
        <w:t>LTD</w:t>
      </w:r>
      <w:r w:rsidR="000435F3" w:rsidRPr="00AC0FEF">
        <w:rPr>
          <w:rFonts w:ascii="Bookman Old Style" w:hAnsi="Bookman Old Style" w:cs="Arial"/>
          <w:b/>
          <w:bCs/>
          <w:i/>
          <w:iCs/>
          <w:sz w:val="28"/>
          <w:szCs w:val="28"/>
          <w:lang w:val="el-GR"/>
        </w:rPr>
        <w:t xml:space="preserve"> </w:t>
      </w:r>
      <w:r w:rsidR="000435F3">
        <w:rPr>
          <w:rFonts w:ascii="Bookman Old Style" w:hAnsi="Bookman Old Style" w:cs="Arial"/>
          <w:b/>
          <w:bCs/>
          <w:i/>
          <w:iCs/>
          <w:sz w:val="28"/>
          <w:szCs w:val="28"/>
          <w:lang w:val="el-GR"/>
        </w:rPr>
        <w:t>και Αντρέα Αντωνίου (2008) 1 Α.Α.Δ. 1051</w:t>
      </w:r>
      <w:r w:rsidR="000435F3">
        <w:rPr>
          <w:rFonts w:ascii="Bookman Old Style" w:hAnsi="Bookman Old Style" w:cs="Arial"/>
          <w:sz w:val="28"/>
          <w:szCs w:val="28"/>
          <w:lang w:val="el-GR"/>
        </w:rPr>
        <w:t xml:space="preserve">). </w:t>
      </w:r>
    </w:p>
    <w:p w14:paraId="36EEC48B" w14:textId="77777777" w:rsidR="0069223F" w:rsidRDefault="0069223F" w:rsidP="00A1149A">
      <w:pPr>
        <w:spacing w:line="480" w:lineRule="auto"/>
        <w:ind w:right="-35"/>
        <w:jc w:val="both"/>
        <w:rPr>
          <w:rFonts w:ascii="Bookman Old Style" w:hAnsi="Bookman Old Style" w:cs="Arial"/>
          <w:sz w:val="28"/>
          <w:szCs w:val="28"/>
          <w:lang w:val="el-GR"/>
        </w:rPr>
      </w:pPr>
    </w:p>
    <w:p w14:paraId="4B5DC4F1" w14:textId="28B1F6AE" w:rsidR="000435F3" w:rsidRDefault="000435F3" w:rsidP="003A48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Στην υπόθεση </w:t>
      </w:r>
      <w:r>
        <w:rPr>
          <w:rFonts w:ascii="Bookman Old Style" w:hAnsi="Bookman Old Style" w:cs="Arial"/>
          <w:b/>
          <w:bCs/>
          <w:i/>
          <w:iCs/>
          <w:sz w:val="28"/>
          <w:szCs w:val="28"/>
          <w:lang w:val="el-GR"/>
        </w:rPr>
        <w:t>Βικτώρια Χρυσάνθου και Πέτρος Χρυσάνθου, Πολιτική Αίτηση Αρ. 73/2008, ημερ. 5/12/2008</w:t>
      </w:r>
      <w:r>
        <w:rPr>
          <w:rFonts w:ascii="Bookman Old Style" w:hAnsi="Bookman Old Style" w:cs="Arial"/>
          <w:sz w:val="28"/>
          <w:szCs w:val="28"/>
          <w:lang w:val="el-GR"/>
        </w:rPr>
        <w:t>, το ένταλμα αναφερόταν σε «</w:t>
      </w:r>
      <w:r>
        <w:rPr>
          <w:rFonts w:ascii="Bookman Old Style" w:hAnsi="Bookman Old Style" w:cs="Arial"/>
          <w:i/>
          <w:iCs/>
          <w:sz w:val="28"/>
          <w:szCs w:val="28"/>
          <w:lang w:val="el-GR"/>
        </w:rPr>
        <w:t>τεκμήρια που σχετίζονταν με την πορνεία</w:t>
      </w:r>
      <w:r>
        <w:rPr>
          <w:rFonts w:ascii="Bookman Old Style" w:hAnsi="Bookman Old Style" w:cs="Arial"/>
          <w:sz w:val="28"/>
          <w:szCs w:val="28"/>
          <w:lang w:val="el-GR"/>
        </w:rPr>
        <w:t>» και υπό τις περιστάσεις και ενόψει ιδιαίτερα και της φύσης των διερευνόμενων αδικημάτων, η επίδικη περιγραφή θεωρήθηκε επαρκής. Το ακόλουθο απόσπασμα είναι σχετικό:</w:t>
      </w:r>
    </w:p>
    <w:p w14:paraId="1FDB81D8" w14:textId="77777777" w:rsidR="000435F3" w:rsidRDefault="000435F3" w:rsidP="003A4838">
      <w:pPr>
        <w:spacing w:line="480" w:lineRule="auto"/>
        <w:ind w:right="-35"/>
        <w:jc w:val="both"/>
        <w:rPr>
          <w:rFonts w:ascii="Bookman Old Style" w:hAnsi="Bookman Old Style" w:cs="Arial"/>
          <w:sz w:val="28"/>
          <w:szCs w:val="28"/>
          <w:lang w:val="el-GR"/>
        </w:rPr>
      </w:pPr>
    </w:p>
    <w:p w14:paraId="7FB09D49" w14:textId="3110B5D3" w:rsidR="000435F3" w:rsidRPr="00C27D66" w:rsidRDefault="000435F3" w:rsidP="003A4838">
      <w:pPr>
        <w:spacing w:line="276" w:lineRule="auto"/>
        <w:ind w:left="426" w:right="390"/>
        <w:jc w:val="both"/>
        <w:rPr>
          <w:rFonts w:ascii="Bookman Old Style" w:hAnsi="Bookman Old Style" w:cs="Arial"/>
          <w:sz w:val="26"/>
          <w:szCs w:val="26"/>
          <w:lang w:val="el-GR"/>
        </w:rPr>
      </w:pPr>
      <w:r w:rsidRPr="00C27D66">
        <w:rPr>
          <w:rFonts w:ascii="Bookman Old Style" w:hAnsi="Bookman Old Style" w:cs="Arial"/>
          <w:sz w:val="26"/>
          <w:szCs w:val="26"/>
          <w:lang w:val="el-GR"/>
        </w:rPr>
        <w:t xml:space="preserve">«Το ένταλμα προσδιόριζε τα πράγματα, όπως αποφασίστηκε στη </w:t>
      </w:r>
      <w:r w:rsidRPr="00C27D66">
        <w:rPr>
          <w:rFonts w:ascii="Bookman Old Style" w:hAnsi="Bookman Old Style" w:cs="Arial"/>
          <w:b/>
          <w:bCs/>
          <w:i/>
          <w:iCs/>
          <w:sz w:val="26"/>
          <w:szCs w:val="26"/>
          <w:lang w:val="el-GR"/>
        </w:rPr>
        <w:t xml:space="preserve">Σύνδεσμος για την Πρόληψη της Βίας στα Γήπεδα </w:t>
      </w:r>
      <w:r w:rsidRPr="00C27D66">
        <w:rPr>
          <w:rFonts w:ascii="Bookman Old Style" w:hAnsi="Bookman Old Style" w:cs="Arial"/>
          <w:sz w:val="26"/>
          <w:szCs w:val="26"/>
          <w:lang w:val="el-GR"/>
        </w:rPr>
        <w:t>(πιο πάνω), ότι δηλαδή ήταν «</w:t>
      </w:r>
      <w:r w:rsidRPr="00C27D66">
        <w:rPr>
          <w:rFonts w:ascii="Bookman Old Style" w:hAnsi="Bookman Old Style" w:cs="Arial"/>
          <w:i/>
          <w:iCs/>
          <w:sz w:val="26"/>
          <w:szCs w:val="26"/>
          <w:lang w:val="el-GR"/>
        </w:rPr>
        <w:t>τεκμήρια που σχετίζονται με την πορνεία</w:t>
      </w:r>
      <w:r w:rsidRPr="00C27D66">
        <w:rPr>
          <w:rFonts w:ascii="Bookman Old Style" w:hAnsi="Bookman Old Style" w:cs="Arial"/>
          <w:sz w:val="26"/>
          <w:szCs w:val="26"/>
          <w:lang w:val="el-GR"/>
        </w:rPr>
        <w:t>». Δε νομίζω ότι η λέξη «</w:t>
      </w:r>
      <w:r w:rsidRPr="00C27D66">
        <w:rPr>
          <w:rFonts w:ascii="Bookman Old Style" w:hAnsi="Bookman Old Style" w:cs="Arial"/>
          <w:i/>
          <w:iCs/>
          <w:sz w:val="26"/>
          <w:szCs w:val="26"/>
          <w:lang w:val="el-GR"/>
        </w:rPr>
        <w:t>προσδιορισμός</w:t>
      </w:r>
      <w:r w:rsidRPr="00C27D66">
        <w:rPr>
          <w:rFonts w:ascii="Bookman Old Style" w:hAnsi="Bookman Old Style" w:cs="Arial"/>
          <w:sz w:val="26"/>
          <w:szCs w:val="26"/>
          <w:lang w:val="el-GR"/>
        </w:rPr>
        <w:t>» έχει την έννοια που εισηγήθηκε ο συνήγορος των αιτητών, δηλαδή να κατονομάζονται τα πράγματα στον όρκο ή στο ένταλμα.»</w:t>
      </w:r>
    </w:p>
    <w:p w14:paraId="76EE1573" w14:textId="77777777" w:rsidR="000435F3" w:rsidRDefault="000435F3" w:rsidP="003A4838">
      <w:pPr>
        <w:spacing w:line="480" w:lineRule="auto"/>
        <w:ind w:right="-35"/>
        <w:jc w:val="both"/>
        <w:rPr>
          <w:rFonts w:ascii="Bookman Old Style" w:hAnsi="Bookman Old Style" w:cs="Arial"/>
          <w:sz w:val="28"/>
          <w:szCs w:val="28"/>
          <w:lang w:val="el-GR"/>
        </w:rPr>
      </w:pPr>
    </w:p>
    <w:p w14:paraId="3FC1C493" w14:textId="5E8B35E4" w:rsidR="000435F3" w:rsidRDefault="000435F3" w:rsidP="003A48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Στην υπό εξέταση περίπτωση τα γεγονότα που κάλυπτε ο Όρκος σαφώς αποκάλυπταν ότι ό,τι αναζητείτο από την Αστυνομία ήταν φαρμακευτικά προϊόντα για τα οποία δεν είχε εκδοθεί άδεια κυκλοφορίας στη Δημοκρατία, ελεγχόμενα φάρμακα, καθώς και έγγραφα σχετικά με αυτά. </w:t>
      </w:r>
    </w:p>
    <w:p w14:paraId="1A083269" w14:textId="77777777" w:rsidR="0069223F" w:rsidRDefault="0069223F" w:rsidP="003A4838">
      <w:pPr>
        <w:spacing w:line="480" w:lineRule="auto"/>
        <w:ind w:right="-35"/>
        <w:jc w:val="both"/>
        <w:rPr>
          <w:rFonts w:ascii="Bookman Old Style" w:hAnsi="Bookman Old Style" w:cs="Arial"/>
          <w:sz w:val="28"/>
          <w:szCs w:val="28"/>
          <w:lang w:val="el-GR"/>
        </w:rPr>
      </w:pPr>
    </w:p>
    <w:p w14:paraId="3AE3E46F" w14:textId="3D5BD9B2" w:rsidR="000D0363" w:rsidRDefault="000D0363" w:rsidP="003A48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Υπό αυτά τα δεδομένα, η επίδικη περιγραφή ήτο επαρκής για να προσδιορίσει τα υπό αναζήτηση πράγματα και αντικείμενα.</w:t>
      </w:r>
    </w:p>
    <w:p w14:paraId="4290412D" w14:textId="77777777" w:rsidR="000D0363" w:rsidRDefault="000D0363" w:rsidP="003A4838">
      <w:pPr>
        <w:spacing w:line="480" w:lineRule="auto"/>
        <w:ind w:right="-35"/>
        <w:jc w:val="both"/>
        <w:rPr>
          <w:rFonts w:ascii="Bookman Old Style" w:hAnsi="Bookman Old Style" w:cs="Arial"/>
          <w:sz w:val="28"/>
          <w:szCs w:val="28"/>
          <w:lang w:val="el-GR"/>
        </w:rPr>
      </w:pPr>
    </w:p>
    <w:p w14:paraId="19534305" w14:textId="59627BBF" w:rsidR="000D0363" w:rsidRDefault="000D0363" w:rsidP="003A48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Όσον δε αφορά τα παράπονα </w:t>
      </w:r>
      <w:r w:rsidR="00B71A3E">
        <w:rPr>
          <w:rFonts w:ascii="Bookman Old Style" w:hAnsi="Bookman Old Style" w:cs="Arial"/>
          <w:sz w:val="28"/>
          <w:szCs w:val="28"/>
          <w:lang w:val="el-GR"/>
        </w:rPr>
        <w:t xml:space="preserve">της Αιτήτριας </w:t>
      </w:r>
      <w:r>
        <w:rPr>
          <w:rFonts w:ascii="Bookman Old Style" w:hAnsi="Bookman Old Style" w:cs="Arial"/>
          <w:sz w:val="28"/>
          <w:szCs w:val="28"/>
          <w:lang w:val="el-GR"/>
        </w:rPr>
        <w:t>ως προς τον τρόπο που έγινε η έρευνα, αυτά δεν μπορούν να αποτελέσουν αντικείμενο της παρούσας διαδικασίας, ούτε επηρεάζουν τη νομιμότητα του εντάλματος, αλλά το στάδιο εκτέλεσης του.</w:t>
      </w:r>
    </w:p>
    <w:p w14:paraId="77A86D4E" w14:textId="77777777" w:rsidR="0069223F" w:rsidRDefault="0069223F" w:rsidP="003A4838">
      <w:pPr>
        <w:spacing w:line="480" w:lineRule="auto"/>
        <w:ind w:right="-35"/>
        <w:jc w:val="both"/>
        <w:rPr>
          <w:rFonts w:ascii="Bookman Old Style" w:hAnsi="Bookman Old Style" w:cs="Arial"/>
          <w:sz w:val="28"/>
          <w:szCs w:val="28"/>
          <w:lang w:val="el-GR"/>
        </w:rPr>
      </w:pPr>
    </w:p>
    <w:p w14:paraId="5BE51DC1" w14:textId="393760B5" w:rsidR="00C27D66" w:rsidRDefault="00460CF5" w:rsidP="003A48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Μέσω του </w:t>
      </w:r>
      <w:r>
        <w:rPr>
          <w:rFonts w:ascii="Bookman Old Style" w:hAnsi="Bookman Old Style" w:cs="Arial"/>
          <w:b/>
          <w:bCs/>
          <w:sz w:val="28"/>
          <w:szCs w:val="28"/>
          <w:lang w:val="el-GR"/>
        </w:rPr>
        <w:t>5</w:t>
      </w:r>
      <w:r w:rsidRPr="00460CF5">
        <w:rPr>
          <w:rFonts w:ascii="Bookman Old Style" w:hAnsi="Bookman Old Style" w:cs="Arial"/>
          <w:b/>
          <w:bCs/>
          <w:sz w:val="28"/>
          <w:szCs w:val="28"/>
          <w:vertAlign w:val="superscript"/>
          <w:lang w:val="el-GR"/>
        </w:rPr>
        <w:t>ου</w:t>
      </w:r>
      <w:r>
        <w:rPr>
          <w:rFonts w:ascii="Bookman Old Style" w:hAnsi="Bookman Old Style" w:cs="Arial"/>
          <w:b/>
          <w:bCs/>
          <w:sz w:val="28"/>
          <w:szCs w:val="28"/>
          <w:lang w:val="el-GR"/>
        </w:rPr>
        <w:t xml:space="preserve"> νομικού Λόγου</w:t>
      </w:r>
      <w:r>
        <w:rPr>
          <w:rFonts w:ascii="Bookman Old Style" w:hAnsi="Bookman Old Style" w:cs="Arial"/>
          <w:sz w:val="28"/>
          <w:szCs w:val="28"/>
          <w:lang w:val="el-GR"/>
        </w:rPr>
        <w:t xml:space="preserve"> </w:t>
      </w:r>
      <w:r w:rsidR="00B71A3E">
        <w:rPr>
          <w:rFonts w:ascii="Bookman Old Style" w:hAnsi="Bookman Old Style" w:cs="Arial"/>
          <w:sz w:val="28"/>
          <w:szCs w:val="28"/>
          <w:lang w:val="el-GR"/>
        </w:rPr>
        <w:t xml:space="preserve">η Αιτήτρια </w:t>
      </w:r>
      <w:r>
        <w:rPr>
          <w:rFonts w:ascii="Bookman Old Style" w:hAnsi="Bookman Old Style" w:cs="Arial"/>
          <w:sz w:val="28"/>
          <w:szCs w:val="28"/>
          <w:lang w:val="el-GR"/>
        </w:rPr>
        <w:t>διατείνεται ότι</w:t>
      </w:r>
      <w:r w:rsidR="00AC0FEF">
        <w:rPr>
          <w:rFonts w:ascii="Bookman Old Style" w:hAnsi="Bookman Old Style" w:cs="Arial"/>
          <w:sz w:val="28"/>
          <w:szCs w:val="28"/>
          <w:lang w:val="el-GR"/>
        </w:rPr>
        <w:t xml:space="preserve"> η μη αναγραφή στο ένταλμα</w:t>
      </w:r>
      <w:r w:rsidR="00C27D66">
        <w:rPr>
          <w:rFonts w:ascii="Bookman Old Style" w:hAnsi="Bookman Old Style" w:cs="Arial"/>
          <w:sz w:val="28"/>
          <w:szCs w:val="28"/>
          <w:lang w:val="el-GR"/>
        </w:rPr>
        <w:t xml:space="preserve"> </w:t>
      </w:r>
      <w:r w:rsidR="007E3D75">
        <w:rPr>
          <w:rFonts w:ascii="Bookman Old Style" w:hAnsi="Bookman Old Style" w:cs="Arial"/>
          <w:sz w:val="28"/>
          <w:szCs w:val="28"/>
          <w:lang w:val="el-GR"/>
        </w:rPr>
        <w:t>της φράσης «</w:t>
      </w:r>
      <w:r w:rsidR="007E3D75">
        <w:rPr>
          <w:rFonts w:ascii="Bookman Old Style" w:hAnsi="Bookman Old Style" w:cs="Arial"/>
          <w:i/>
          <w:iCs/>
          <w:sz w:val="28"/>
          <w:szCs w:val="28"/>
          <w:lang w:val="el-GR"/>
        </w:rPr>
        <w:t>να κατάσχει και μεταφέρει αυτό ενώπιον του Δικαστηρίου από το οποίο εκδόθηκε το ένταλμα έρευνας ή ενώπιον άλλου Δικαστηρίου και να τύχει αυτό μεταχείρισης σύμφωνα με το νόμο</w:t>
      </w:r>
      <w:r w:rsidR="007E3D75">
        <w:rPr>
          <w:rFonts w:ascii="Bookman Old Style" w:hAnsi="Bookman Old Style" w:cs="Arial"/>
          <w:sz w:val="28"/>
          <w:szCs w:val="28"/>
          <w:lang w:val="el-GR"/>
        </w:rPr>
        <w:t xml:space="preserve">», καθιστά το εκδοθέν </w:t>
      </w:r>
      <w:r w:rsidR="0069223F">
        <w:rPr>
          <w:rFonts w:ascii="Bookman Old Style" w:hAnsi="Bookman Old Style" w:cs="Arial"/>
          <w:sz w:val="28"/>
          <w:szCs w:val="28"/>
          <w:lang w:val="el-GR"/>
        </w:rPr>
        <w:t>Έ</w:t>
      </w:r>
      <w:r w:rsidR="007E3D75">
        <w:rPr>
          <w:rFonts w:ascii="Bookman Old Style" w:hAnsi="Bookman Old Style" w:cs="Arial"/>
          <w:sz w:val="28"/>
          <w:szCs w:val="28"/>
          <w:lang w:val="el-GR"/>
        </w:rPr>
        <w:t xml:space="preserve">νταλμα </w:t>
      </w:r>
      <w:r w:rsidR="00FA448B">
        <w:rPr>
          <w:rFonts w:ascii="Bookman Old Style" w:hAnsi="Bookman Old Style" w:cs="Arial"/>
          <w:sz w:val="28"/>
          <w:szCs w:val="28"/>
          <w:lang w:val="el-GR"/>
        </w:rPr>
        <w:t xml:space="preserve">παράνομο και </w:t>
      </w:r>
      <w:r w:rsidR="007E3D75">
        <w:rPr>
          <w:rFonts w:ascii="Bookman Old Style" w:hAnsi="Bookman Old Style" w:cs="Arial"/>
          <w:sz w:val="28"/>
          <w:szCs w:val="28"/>
          <w:lang w:val="el-GR"/>
        </w:rPr>
        <w:t xml:space="preserve">σε αντίθεση με το </w:t>
      </w:r>
      <w:r w:rsidR="007E3D75">
        <w:rPr>
          <w:rFonts w:ascii="Bookman Old Style" w:hAnsi="Bookman Old Style" w:cs="Arial"/>
          <w:b/>
          <w:bCs/>
          <w:sz w:val="28"/>
          <w:szCs w:val="28"/>
          <w:lang w:val="el-GR"/>
        </w:rPr>
        <w:t>Άρθρο 27</w:t>
      </w:r>
      <w:r w:rsidR="007E3D75">
        <w:rPr>
          <w:rFonts w:ascii="Bookman Old Style" w:hAnsi="Bookman Old Style" w:cs="Arial"/>
          <w:sz w:val="28"/>
          <w:szCs w:val="28"/>
          <w:lang w:val="el-GR"/>
        </w:rPr>
        <w:t xml:space="preserve"> αφού, όπως υποστηρίχθηκε, επιτρέπει όχι την προσωρινή και περιορισμένη κράτηση αντικειμένου που θα κατασχεθεί μέχρι να τεθεί ενώπιον του Δικαστηρίου για περαιτέρω χειρισμό, αλλά την αυθαίρετη και αόριστη κατακράτηση οποιουδήποτε πράγματος δυνατό να κατασχεθεί από τις ανακριτικές αρχές και χωρίς δικαστικό έλεγχο, ως προϋποθέτει το</w:t>
      </w:r>
      <w:r w:rsidR="00B71A3E">
        <w:rPr>
          <w:rFonts w:ascii="Bookman Old Style" w:hAnsi="Bookman Old Style" w:cs="Arial"/>
          <w:sz w:val="28"/>
          <w:szCs w:val="28"/>
          <w:lang w:val="el-GR"/>
        </w:rPr>
        <w:t xml:space="preserve">           </w:t>
      </w:r>
      <w:r w:rsidR="007E3D75">
        <w:rPr>
          <w:rFonts w:ascii="Bookman Old Style" w:hAnsi="Bookman Old Style" w:cs="Arial"/>
          <w:sz w:val="28"/>
          <w:szCs w:val="28"/>
          <w:lang w:val="el-GR"/>
        </w:rPr>
        <w:t xml:space="preserve"> </w:t>
      </w:r>
      <w:r w:rsidR="007E3D75">
        <w:rPr>
          <w:rFonts w:ascii="Bookman Old Style" w:hAnsi="Bookman Old Style" w:cs="Arial"/>
          <w:b/>
          <w:bCs/>
          <w:sz w:val="28"/>
          <w:szCs w:val="28"/>
          <w:lang w:val="el-GR"/>
        </w:rPr>
        <w:t>Άρθρο 27</w:t>
      </w:r>
      <w:r w:rsidR="007E3D75">
        <w:rPr>
          <w:rFonts w:ascii="Bookman Old Style" w:hAnsi="Bookman Old Style" w:cs="Arial"/>
          <w:sz w:val="28"/>
          <w:szCs w:val="28"/>
          <w:lang w:val="el-GR"/>
        </w:rPr>
        <w:t xml:space="preserve">. </w:t>
      </w:r>
    </w:p>
    <w:p w14:paraId="5456F975" w14:textId="77777777" w:rsidR="00E75C0B" w:rsidRDefault="00E75C0B" w:rsidP="003A4838">
      <w:pPr>
        <w:spacing w:line="480" w:lineRule="auto"/>
        <w:ind w:right="-35"/>
        <w:jc w:val="both"/>
        <w:rPr>
          <w:rFonts w:ascii="Bookman Old Style" w:hAnsi="Bookman Old Style" w:cs="Arial"/>
          <w:sz w:val="28"/>
          <w:szCs w:val="28"/>
          <w:lang w:val="el-GR"/>
        </w:rPr>
      </w:pPr>
    </w:p>
    <w:p w14:paraId="44BF90AE" w14:textId="27BF0A21" w:rsidR="00460CF5" w:rsidRDefault="00EF66F5" w:rsidP="003A48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Έγινε δε παραπομπή στις πρόνοιες του </w:t>
      </w:r>
      <w:r w:rsidR="00460CF5">
        <w:rPr>
          <w:rFonts w:ascii="Bookman Old Style" w:hAnsi="Bookman Old Style" w:cs="Arial"/>
          <w:b/>
          <w:bCs/>
          <w:sz w:val="28"/>
          <w:szCs w:val="28"/>
          <w:lang w:val="el-GR"/>
        </w:rPr>
        <w:t>Άρθρου 27(γ)(</w:t>
      </w:r>
      <w:r>
        <w:rPr>
          <w:rFonts w:ascii="Bookman Old Style" w:hAnsi="Bookman Old Style" w:cs="Arial"/>
          <w:b/>
          <w:bCs/>
          <w:sz w:val="28"/>
          <w:szCs w:val="28"/>
          <w:lang w:val="el-GR"/>
        </w:rPr>
        <w:t>ι</w:t>
      </w:r>
      <w:r w:rsidR="00460CF5">
        <w:rPr>
          <w:rFonts w:ascii="Bookman Old Style" w:hAnsi="Bookman Old Style" w:cs="Arial"/>
          <w:b/>
          <w:bCs/>
          <w:sz w:val="28"/>
          <w:szCs w:val="28"/>
          <w:lang w:val="el-GR"/>
        </w:rPr>
        <w:t xml:space="preserve">) του Κεφ. 155 </w:t>
      </w:r>
      <w:r w:rsidR="00460CF5">
        <w:rPr>
          <w:rFonts w:ascii="Bookman Old Style" w:hAnsi="Bookman Old Style" w:cs="Arial"/>
          <w:sz w:val="28"/>
          <w:szCs w:val="28"/>
          <w:lang w:val="el-GR"/>
        </w:rPr>
        <w:t>το οποίο αναφέρει τα ακόλουθα:</w:t>
      </w:r>
    </w:p>
    <w:p w14:paraId="08FFABA2" w14:textId="77777777" w:rsidR="001A7AC0" w:rsidRDefault="001A7AC0" w:rsidP="003A4838">
      <w:pPr>
        <w:spacing w:line="480" w:lineRule="auto"/>
        <w:ind w:right="-35"/>
        <w:jc w:val="both"/>
        <w:rPr>
          <w:rFonts w:ascii="Bookman Old Style" w:hAnsi="Bookman Old Style" w:cs="Arial"/>
          <w:sz w:val="28"/>
          <w:szCs w:val="28"/>
          <w:lang w:val="el-GR"/>
        </w:rPr>
      </w:pPr>
    </w:p>
    <w:p w14:paraId="062970F8" w14:textId="38D5557D" w:rsidR="00460CF5" w:rsidRDefault="00460CF5" w:rsidP="003A4838">
      <w:pPr>
        <w:spacing w:line="276" w:lineRule="auto"/>
        <w:ind w:left="284" w:right="390"/>
        <w:jc w:val="both"/>
        <w:rPr>
          <w:rFonts w:ascii="Bookman Old Style" w:hAnsi="Bookman Old Style"/>
          <w:i/>
          <w:iCs/>
          <w:color w:val="000000"/>
          <w:sz w:val="26"/>
          <w:szCs w:val="26"/>
          <w:lang w:val="el-GR"/>
        </w:rPr>
      </w:pPr>
      <w:r w:rsidRPr="00EF66F5">
        <w:rPr>
          <w:rFonts w:ascii="Bookman Old Style" w:hAnsi="Bookman Old Style" w:cs="Arial"/>
          <w:i/>
          <w:iCs/>
          <w:sz w:val="26"/>
          <w:szCs w:val="26"/>
          <w:lang w:val="el-GR"/>
        </w:rPr>
        <w:t>«</w:t>
      </w:r>
      <w:r w:rsidR="00EF66F5" w:rsidRPr="00EF66F5">
        <w:rPr>
          <w:rFonts w:ascii="Bookman Old Style" w:hAnsi="Bookman Old Style"/>
          <w:i/>
          <w:iCs/>
          <w:color w:val="000000"/>
          <w:sz w:val="26"/>
          <w:szCs w:val="26"/>
          <w:lang w:val="el-GR"/>
        </w:rPr>
        <w:t>27. Όταν δικαστής ικανοποιείται με ένορκη έγγραφη δήλωση ότι υπάρχει εύλογη αιτία να πιστεύεται ότι σε οποιοδήποτε τόπο υπάρχει-</w:t>
      </w:r>
    </w:p>
    <w:p w14:paraId="28403C9F" w14:textId="77777777" w:rsidR="00390C25" w:rsidRPr="00EF66F5" w:rsidRDefault="00390C25" w:rsidP="003A4838">
      <w:pPr>
        <w:spacing w:line="276" w:lineRule="auto"/>
        <w:ind w:left="284" w:right="390"/>
        <w:jc w:val="both"/>
        <w:rPr>
          <w:rFonts w:ascii="Bookman Old Style" w:hAnsi="Bookman Old Style"/>
          <w:i/>
          <w:iCs/>
          <w:color w:val="000000"/>
          <w:sz w:val="26"/>
          <w:szCs w:val="26"/>
          <w:lang w:val="el-GR"/>
        </w:rPr>
      </w:pPr>
    </w:p>
    <w:p w14:paraId="02932D74" w14:textId="77777777" w:rsidR="00EF66F5" w:rsidRPr="0068733F" w:rsidRDefault="00EF66F5" w:rsidP="003A4838">
      <w:pPr>
        <w:pStyle w:val="indent10"/>
        <w:spacing w:before="0" w:beforeAutospacing="0" w:after="0" w:afterAutospacing="0" w:line="276" w:lineRule="auto"/>
        <w:ind w:left="567" w:right="390"/>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(γ) οτιδήποτε για το οποίο υπάρχει εύλογη αιτία να πιστεύεται ότι προορίζεται να χρησιμοποιηθεί για το σκοπό διάπραξης ποινικού αδικήματος, ο δικαστής δύναται σε οποιοδήποτε χρόνο να εκδώσει ένταλμα (το οποίο αναφέρεται στο νόμο αυτό ως “ένταλμα έρευνας”), που εξουσιοδοτεί το πρόσωπο που κατονομάζεται σε αυτό-</w:t>
      </w:r>
    </w:p>
    <w:p w14:paraId="4C860290" w14:textId="77777777" w:rsidR="00390C25" w:rsidRPr="0068733F" w:rsidRDefault="00390C25" w:rsidP="003A4838">
      <w:pPr>
        <w:pStyle w:val="indent10"/>
        <w:spacing w:before="0" w:beforeAutospacing="0" w:after="0" w:afterAutospacing="0" w:line="276" w:lineRule="auto"/>
        <w:ind w:left="567" w:right="390"/>
        <w:jc w:val="both"/>
        <w:rPr>
          <w:rFonts w:ascii="Bookman Old Style" w:hAnsi="Bookman Old Style"/>
          <w:i/>
          <w:iCs/>
          <w:color w:val="000000"/>
          <w:sz w:val="26"/>
          <w:szCs w:val="26"/>
          <w:lang w:val="el-GR"/>
        </w:rPr>
      </w:pPr>
    </w:p>
    <w:p w14:paraId="4CFEE1CB" w14:textId="2C79928B" w:rsidR="00FA448B" w:rsidRDefault="00EF66F5" w:rsidP="003A4838">
      <w:pPr>
        <w:pStyle w:val="indent10"/>
        <w:spacing w:before="0" w:beforeAutospacing="0" w:after="0" w:afterAutospacing="0" w:line="276" w:lineRule="auto"/>
        <w:ind w:left="900" w:right="390"/>
        <w:jc w:val="both"/>
        <w:rPr>
          <w:rFonts w:ascii="Bookman Old Style" w:hAnsi="Bookman Old Style"/>
          <w:i/>
          <w:iCs/>
          <w:color w:val="000000"/>
          <w:sz w:val="26"/>
          <w:szCs w:val="26"/>
          <w:lang w:val="el-GR"/>
        </w:rPr>
      </w:pPr>
      <w:r w:rsidRPr="0068733F">
        <w:rPr>
          <w:rFonts w:ascii="Bookman Old Style" w:hAnsi="Bookman Old Style"/>
          <w:i/>
          <w:iCs/>
          <w:color w:val="000000"/>
          <w:sz w:val="26"/>
          <w:szCs w:val="26"/>
          <w:lang w:val="el-GR"/>
        </w:rPr>
        <w:t>(ι) να ερευνήσει τον τόπο αυτό προς ανεύρεση οποιουδήποτε τέτοιου πράγματος και να κατάσχει και μεταφέρει αυτό ενώπιον του Δικαστηρίου από το οποίο εκδόθηκε το ένταλμα έρευνας ή ενώπιον άλλου Δικαστηρίου για να τύχει αυτό μεταχείρισης σύμφωνα με το νόμο</w:t>
      </w:r>
      <w:r w:rsidR="00FA448B">
        <w:rPr>
          <w:rFonts w:ascii="Bookman Old Style" w:hAnsi="Bookman Old Style"/>
          <w:i/>
          <w:iCs/>
          <w:color w:val="000000"/>
          <w:sz w:val="26"/>
          <w:szCs w:val="26"/>
          <w:lang w:val="el-GR"/>
        </w:rPr>
        <w:t>.»</w:t>
      </w:r>
    </w:p>
    <w:p w14:paraId="16AEDF90" w14:textId="77777777" w:rsidR="003A4838" w:rsidRDefault="003A4838" w:rsidP="003A4838">
      <w:pPr>
        <w:pStyle w:val="indent10"/>
        <w:spacing w:before="0" w:beforeAutospacing="0" w:after="0" w:afterAutospacing="0" w:line="276" w:lineRule="auto"/>
        <w:ind w:left="900" w:right="390"/>
        <w:jc w:val="both"/>
        <w:rPr>
          <w:rFonts w:ascii="Bookman Old Style" w:hAnsi="Bookman Old Style"/>
          <w:i/>
          <w:iCs/>
          <w:color w:val="000000"/>
          <w:sz w:val="26"/>
          <w:szCs w:val="26"/>
          <w:lang w:val="el-GR"/>
        </w:rPr>
      </w:pPr>
    </w:p>
    <w:p w14:paraId="144CC0D8" w14:textId="77777777" w:rsidR="00390C25" w:rsidRDefault="00390C25" w:rsidP="003A4838">
      <w:pPr>
        <w:pStyle w:val="indent10"/>
        <w:spacing w:before="0" w:beforeAutospacing="0" w:after="0" w:afterAutospacing="0" w:line="276" w:lineRule="auto"/>
        <w:ind w:left="900" w:right="390"/>
        <w:jc w:val="both"/>
        <w:rPr>
          <w:rFonts w:ascii="Bookman Old Style" w:hAnsi="Bookman Old Style"/>
          <w:i/>
          <w:iCs/>
          <w:color w:val="000000"/>
          <w:sz w:val="26"/>
          <w:szCs w:val="26"/>
          <w:lang w:val="el-GR"/>
        </w:rPr>
      </w:pPr>
    </w:p>
    <w:p w14:paraId="3BEBB534" w14:textId="60286D01" w:rsidR="00FA448B" w:rsidRDefault="00FA448B" w:rsidP="003A4838">
      <w:pPr>
        <w:pStyle w:val="indent10"/>
        <w:spacing w:before="0" w:beforeAutospacing="0" w:after="0" w:afterAutospacing="0"/>
        <w:ind w:right="-35"/>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Στο επίδικο </w:t>
      </w:r>
      <w:r w:rsidR="00C570FB">
        <w:rPr>
          <w:rFonts w:ascii="Bookman Old Style" w:hAnsi="Bookman Old Style"/>
          <w:color w:val="000000"/>
          <w:sz w:val="28"/>
          <w:szCs w:val="28"/>
          <w:lang w:val="el-GR"/>
        </w:rPr>
        <w:t xml:space="preserve">Ένταλμα </w:t>
      </w:r>
      <w:r>
        <w:rPr>
          <w:rFonts w:ascii="Bookman Old Style" w:hAnsi="Bookman Old Style"/>
          <w:color w:val="000000"/>
          <w:sz w:val="28"/>
          <w:szCs w:val="28"/>
          <w:lang w:val="el-GR"/>
        </w:rPr>
        <w:t>αναφέρονται τα εξής:</w:t>
      </w:r>
    </w:p>
    <w:p w14:paraId="4CDD2C39" w14:textId="77777777" w:rsidR="009C1752" w:rsidRDefault="009C1752" w:rsidP="003A4838">
      <w:pPr>
        <w:pStyle w:val="indent10"/>
        <w:spacing w:before="0" w:beforeAutospacing="0" w:after="0" w:afterAutospacing="0"/>
        <w:ind w:right="-35"/>
        <w:jc w:val="both"/>
        <w:rPr>
          <w:rFonts w:ascii="Bookman Old Style" w:hAnsi="Bookman Old Style"/>
          <w:color w:val="000000"/>
          <w:sz w:val="28"/>
          <w:szCs w:val="28"/>
          <w:lang w:val="el-GR"/>
        </w:rPr>
      </w:pPr>
    </w:p>
    <w:p w14:paraId="16A343DF" w14:textId="77777777" w:rsidR="009C1752" w:rsidRDefault="009C1752" w:rsidP="003A4838">
      <w:pPr>
        <w:pStyle w:val="indent10"/>
        <w:spacing w:before="0" w:beforeAutospacing="0" w:after="0" w:afterAutospacing="0"/>
        <w:ind w:right="-35"/>
        <w:jc w:val="both"/>
        <w:rPr>
          <w:rFonts w:ascii="Bookman Old Style" w:hAnsi="Bookman Old Style"/>
          <w:color w:val="000000"/>
          <w:sz w:val="28"/>
          <w:szCs w:val="28"/>
          <w:lang w:val="el-GR"/>
        </w:rPr>
      </w:pPr>
    </w:p>
    <w:p w14:paraId="09E807F8" w14:textId="2B0F2762" w:rsidR="00C21B09" w:rsidRDefault="00C21B09" w:rsidP="003A4838">
      <w:pPr>
        <w:pStyle w:val="indent10"/>
        <w:spacing w:before="0" w:beforeAutospacing="0" w:after="0" w:afterAutospacing="0" w:line="276" w:lineRule="auto"/>
        <w:ind w:left="284" w:right="390"/>
        <w:jc w:val="both"/>
        <w:rPr>
          <w:rFonts w:ascii="Bookman Old Style" w:hAnsi="Bookman Old Style"/>
          <w:color w:val="000000"/>
          <w:sz w:val="26"/>
          <w:szCs w:val="26"/>
          <w:lang w:val="el-GR"/>
        </w:rPr>
      </w:pPr>
      <w:r>
        <w:rPr>
          <w:rFonts w:ascii="Bookman Old Style" w:hAnsi="Bookman Old Style"/>
          <w:color w:val="000000"/>
          <w:sz w:val="26"/>
          <w:szCs w:val="26"/>
          <w:lang w:val="el-GR"/>
        </w:rPr>
        <w:t>«… αυτό το ένταλμα σας εξουσιοδοτεί</w:t>
      </w:r>
      <w:r w:rsidR="00F8262E">
        <w:rPr>
          <w:rFonts w:ascii="Bookman Old Style" w:hAnsi="Bookman Old Style"/>
          <w:color w:val="000000"/>
          <w:sz w:val="26"/>
          <w:szCs w:val="26"/>
          <w:lang w:val="el-GR"/>
        </w:rPr>
        <w:t xml:space="preserve"> και σας καλεί αμέσως με κατάλληλη βοήθεια και συνοδεία λειτουργών των Φαρμακευτικών Υπηρεσιών του Υπουργείου Υγείας και λειτουργών των Υγειονομικών Υπηρεσιών, να εισέλθετε στο αναφερόμενο κατάστημα </w:t>
      </w:r>
      <w:r w:rsidR="00F8262E" w:rsidRPr="00F8262E">
        <w:rPr>
          <w:rFonts w:ascii="Bookman Old Style" w:hAnsi="Bookman Old Style"/>
          <w:color w:val="000000"/>
          <w:sz w:val="26"/>
          <w:szCs w:val="26"/>
          <w:lang w:val="el-GR"/>
        </w:rPr>
        <w:t>“</w:t>
      </w:r>
      <w:r w:rsidR="00F8262E">
        <w:rPr>
          <w:rFonts w:ascii="Bookman Old Style" w:hAnsi="Bookman Old Style"/>
          <w:b/>
          <w:bCs/>
          <w:color w:val="000000"/>
          <w:sz w:val="26"/>
          <w:szCs w:val="26"/>
          <w:lang w:val="en-US"/>
        </w:rPr>
        <w:t>CBD</w:t>
      </w:r>
      <w:r w:rsidR="00F8262E" w:rsidRPr="00F8262E">
        <w:rPr>
          <w:rFonts w:ascii="Bookman Old Style" w:hAnsi="Bookman Old Style"/>
          <w:b/>
          <w:bCs/>
          <w:color w:val="000000"/>
          <w:sz w:val="26"/>
          <w:szCs w:val="26"/>
          <w:lang w:val="el-GR"/>
        </w:rPr>
        <w:t xml:space="preserve"> </w:t>
      </w:r>
      <w:r w:rsidR="00F8262E">
        <w:rPr>
          <w:rFonts w:ascii="Bookman Old Style" w:hAnsi="Bookman Old Style"/>
          <w:b/>
          <w:bCs/>
          <w:color w:val="000000"/>
          <w:sz w:val="26"/>
          <w:szCs w:val="26"/>
          <w:lang w:val="en-US"/>
        </w:rPr>
        <w:t>OIL</w:t>
      </w:r>
      <w:r w:rsidR="00F8262E" w:rsidRPr="00F8262E">
        <w:rPr>
          <w:rFonts w:ascii="Bookman Old Style" w:hAnsi="Bookman Old Style"/>
          <w:b/>
          <w:bCs/>
          <w:color w:val="000000"/>
          <w:sz w:val="26"/>
          <w:szCs w:val="26"/>
          <w:lang w:val="el-GR"/>
        </w:rPr>
        <w:t xml:space="preserve"> </w:t>
      </w:r>
      <w:r w:rsidR="00F8262E">
        <w:rPr>
          <w:rFonts w:ascii="Bookman Old Style" w:hAnsi="Bookman Old Style"/>
          <w:b/>
          <w:bCs/>
          <w:color w:val="000000"/>
          <w:sz w:val="26"/>
          <w:szCs w:val="26"/>
          <w:lang w:val="en-US"/>
        </w:rPr>
        <w:t>SHOP</w:t>
      </w:r>
      <w:r w:rsidR="00F8262E" w:rsidRPr="00F8262E">
        <w:rPr>
          <w:rFonts w:ascii="Bookman Old Style" w:hAnsi="Bookman Old Style"/>
          <w:color w:val="000000"/>
          <w:sz w:val="26"/>
          <w:szCs w:val="26"/>
          <w:lang w:val="el-GR"/>
        </w:rPr>
        <w:t>”</w:t>
      </w:r>
      <w:r w:rsidR="00F8262E">
        <w:rPr>
          <w:rFonts w:ascii="Bookman Old Style" w:hAnsi="Bookman Old Style"/>
          <w:color w:val="000000"/>
          <w:sz w:val="26"/>
          <w:szCs w:val="26"/>
          <w:lang w:val="el-GR"/>
        </w:rPr>
        <w:t xml:space="preserve"> που βρίσκεται στην οδό </w:t>
      </w:r>
      <w:r w:rsidR="00D00827" w:rsidRPr="00D00827">
        <w:rPr>
          <w:rFonts w:ascii="Bookman Old Style" w:hAnsi="Bookman Old Style"/>
          <w:color w:val="000000"/>
          <w:sz w:val="26"/>
          <w:szCs w:val="26"/>
          <w:lang w:val="el-GR"/>
        </w:rPr>
        <w:t>[ ]</w:t>
      </w:r>
      <w:r w:rsidR="00F8262E">
        <w:rPr>
          <w:rFonts w:ascii="Bookman Old Style" w:hAnsi="Bookman Old Style"/>
          <w:color w:val="000000"/>
          <w:sz w:val="26"/>
          <w:szCs w:val="26"/>
          <w:lang w:val="el-GR"/>
        </w:rPr>
        <w:t>, οποιαδήποτε ώρα και εκεί με επιμέλεια να ερευνήσετε για τα αναφερόμενα πράγματα και αν αυτά ή μέρος αυτών, ευρεθούν κατά την έρευνα, να φέρετε τα πράγματα που θα βρεθούν έτσι …»</w:t>
      </w:r>
    </w:p>
    <w:p w14:paraId="3BCAEBA9" w14:textId="77777777" w:rsidR="00F8262E" w:rsidRDefault="00F8262E" w:rsidP="00C21B09">
      <w:pPr>
        <w:pStyle w:val="indent10"/>
        <w:spacing w:line="276" w:lineRule="auto"/>
        <w:ind w:left="426" w:right="-35"/>
        <w:jc w:val="both"/>
        <w:rPr>
          <w:rFonts w:ascii="Bookman Old Style" w:hAnsi="Bookman Old Style"/>
          <w:color w:val="000000"/>
          <w:sz w:val="26"/>
          <w:szCs w:val="26"/>
          <w:lang w:val="el-GR"/>
        </w:rPr>
      </w:pPr>
    </w:p>
    <w:p w14:paraId="4F813AA3" w14:textId="04EAEA07" w:rsidR="000F5861" w:rsidRDefault="00FA448B" w:rsidP="00E44A1F">
      <w:pPr>
        <w:spacing w:line="480" w:lineRule="auto"/>
        <w:ind w:right="-35"/>
        <w:jc w:val="both"/>
        <w:rPr>
          <w:rFonts w:ascii="Bookman Old Style" w:hAnsi="Bookman Old Style"/>
          <w:color w:val="000000"/>
          <w:sz w:val="28"/>
          <w:szCs w:val="28"/>
          <w:lang w:val="el-GR"/>
        </w:rPr>
      </w:pPr>
      <w:r>
        <w:rPr>
          <w:rFonts w:ascii="Bookman Old Style" w:hAnsi="Bookman Old Style"/>
          <w:color w:val="000000"/>
          <w:sz w:val="28"/>
          <w:szCs w:val="28"/>
          <w:lang w:val="el-GR"/>
        </w:rPr>
        <w:t>Όπως διαπιστώνεται, ελλείπει η φράση «</w:t>
      </w:r>
      <w:r>
        <w:rPr>
          <w:rFonts w:ascii="Bookman Old Style" w:hAnsi="Bookman Old Style"/>
          <w:i/>
          <w:iCs/>
          <w:color w:val="000000"/>
          <w:sz w:val="28"/>
          <w:szCs w:val="28"/>
          <w:lang w:val="el-GR"/>
        </w:rPr>
        <w:t>για να τύχει αυτό μεταχείρισης σύμφωνα με το νόμο</w:t>
      </w:r>
      <w:r>
        <w:rPr>
          <w:rFonts w:ascii="Bookman Old Style" w:hAnsi="Bookman Old Style"/>
          <w:color w:val="000000"/>
          <w:sz w:val="28"/>
          <w:szCs w:val="28"/>
          <w:lang w:val="el-GR"/>
        </w:rPr>
        <w:t xml:space="preserve">», ως προνοείται στο </w:t>
      </w:r>
      <w:r>
        <w:rPr>
          <w:rFonts w:ascii="Bookman Old Style" w:hAnsi="Bookman Old Style"/>
          <w:b/>
          <w:bCs/>
          <w:color w:val="000000"/>
          <w:sz w:val="28"/>
          <w:szCs w:val="28"/>
          <w:lang w:val="el-GR"/>
        </w:rPr>
        <w:t>Άρθρο 27</w:t>
      </w:r>
      <w:r>
        <w:rPr>
          <w:rFonts w:ascii="Bookman Old Style" w:hAnsi="Bookman Old Style"/>
          <w:color w:val="000000"/>
          <w:sz w:val="28"/>
          <w:szCs w:val="28"/>
          <w:lang w:val="el-GR"/>
        </w:rPr>
        <w:t>. Το στοιχείο</w:t>
      </w:r>
      <w:r w:rsidR="00C570FB" w:rsidRPr="00C570FB">
        <w:rPr>
          <w:rFonts w:ascii="Bookman Old Style" w:hAnsi="Bookman Old Style"/>
          <w:color w:val="000000"/>
          <w:sz w:val="28"/>
          <w:szCs w:val="28"/>
          <w:lang w:val="el-GR"/>
        </w:rPr>
        <w:t>,</w:t>
      </w:r>
      <w:r>
        <w:rPr>
          <w:rFonts w:ascii="Bookman Old Style" w:hAnsi="Bookman Old Style"/>
          <w:color w:val="000000"/>
          <w:sz w:val="28"/>
          <w:szCs w:val="28"/>
          <w:lang w:val="el-GR"/>
        </w:rPr>
        <w:t xml:space="preserve"> όμως</w:t>
      </w:r>
      <w:r w:rsidR="00C570FB" w:rsidRPr="00C570FB">
        <w:rPr>
          <w:rFonts w:ascii="Bookman Old Style" w:hAnsi="Bookman Old Style"/>
          <w:color w:val="000000"/>
          <w:sz w:val="28"/>
          <w:szCs w:val="28"/>
          <w:lang w:val="el-GR"/>
        </w:rPr>
        <w:t>,</w:t>
      </w:r>
      <w:r>
        <w:rPr>
          <w:rFonts w:ascii="Bookman Old Style" w:hAnsi="Bookman Old Style"/>
          <w:color w:val="000000"/>
          <w:sz w:val="28"/>
          <w:szCs w:val="28"/>
          <w:lang w:val="el-GR"/>
        </w:rPr>
        <w:t xml:space="preserve"> αυτό δεν αποτελεί λόγο ακυρότητας του εντάλματος. Δεδομένου ότι με βάση τα διαλαμβανόμενα στο </w:t>
      </w:r>
      <w:r>
        <w:rPr>
          <w:rFonts w:ascii="Bookman Old Style" w:hAnsi="Bookman Old Style"/>
          <w:b/>
          <w:bCs/>
          <w:color w:val="000000"/>
          <w:sz w:val="28"/>
          <w:szCs w:val="28"/>
          <w:lang w:val="el-GR"/>
        </w:rPr>
        <w:t>Άρθρο 27</w:t>
      </w:r>
      <w:r>
        <w:rPr>
          <w:rFonts w:ascii="Bookman Old Style" w:hAnsi="Bookman Old Style"/>
          <w:color w:val="000000"/>
          <w:sz w:val="28"/>
          <w:szCs w:val="28"/>
          <w:lang w:val="el-GR"/>
        </w:rPr>
        <w:t xml:space="preserve"> τα κατασχεθέντα αντικείμενα πρέπει να τύχουν μεταχείρισης σύμφωνα με το Νόμο, η παράλειψη αναγραφής αυτής της φράσης στο ίδιο το ένταλμα δεν αφαιρεί οτιδήποτε από τη νομική αυτή υποχρέωση. </w:t>
      </w:r>
      <w:r w:rsidR="000F5861">
        <w:rPr>
          <w:rFonts w:ascii="Bookman Old Style" w:hAnsi="Bookman Old Style"/>
          <w:color w:val="000000"/>
          <w:sz w:val="28"/>
          <w:szCs w:val="28"/>
          <w:lang w:val="el-GR"/>
        </w:rPr>
        <w:t xml:space="preserve">Ο τρόπος χειρισμού των κατασχεθέντων μετά από έρευνα </w:t>
      </w:r>
      <w:r w:rsidR="000F5861" w:rsidRPr="00E44A1F">
        <w:rPr>
          <w:rFonts w:ascii="Bookman Old Style" w:hAnsi="Bookman Old Style" w:cs="Arial"/>
          <w:sz w:val="28"/>
          <w:szCs w:val="28"/>
          <w:lang w:val="el-GR"/>
        </w:rPr>
        <w:t>αντικειμένων</w:t>
      </w:r>
      <w:r w:rsidR="000F5861">
        <w:rPr>
          <w:rFonts w:ascii="Bookman Old Style" w:hAnsi="Bookman Old Style"/>
          <w:color w:val="000000"/>
          <w:sz w:val="28"/>
          <w:szCs w:val="28"/>
          <w:lang w:val="el-GR"/>
        </w:rPr>
        <w:t xml:space="preserve"> προνοείται στο </w:t>
      </w:r>
      <w:r w:rsidR="000F5861">
        <w:rPr>
          <w:rFonts w:ascii="Bookman Old Style" w:hAnsi="Bookman Old Style"/>
          <w:b/>
          <w:bCs/>
          <w:color w:val="000000"/>
          <w:sz w:val="28"/>
          <w:szCs w:val="28"/>
          <w:lang w:val="el-GR"/>
        </w:rPr>
        <w:t>Άρθρο 32 του Κεφ. 155</w:t>
      </w:r>
      <w:r w:rsidR="00C570FB" w:rsidRPr="00C570FB">
        <w:rPr>
          <w:rStyle w:val="FootnoteReference"/>
          <w:rFonts w:ascii="Bookman Old Style" w:hAnsi="Bookman Old Style"/>
          <w:color w:val="000000"/>
          <w:sz w:val="28"/>
          <w:szCs w:val="28"/>
          <w:lang w:val="el-GR"/>
        </w:rPr>
        <w:footnoteReference w:id="4"/>
      </w:r>
      <w:r w:rsidR="000F5861">
        <w:rPr>
          <w:rFonts w:ascii="Bookman Old Style" w:hAnsi="Bookman Old Style"/>
          <w:color w:val="000000"/>
          <w:sz w:val="28"/>
          <w:szCs w:val="28"/>
          <w:lang w:val="el-GR"/>
        </w:rPr>
        <w:t xml:space="preserve">. </w:t>
      </w:r>
    </w:p>
    <w:p w14:paraId="75FE90D5" w14:textId="77777777" w:rsidR="0069223F" w:rsidRDefault="0069223F" w:rsidP="00E44A1F">
      <w:pPr>
        <w:spacing w:line="480" w:lineRule="auto"/>
        <w:ind w:right="-35"/>
        <w:jc w:val="both"/>
        <w:rPr>
          <w:rFonts w:ascii="Bookman Old Style" w:hAnsi="Bookman Old Style"/>
          <w:color w:val="000000"/>
          <w:sz w:val="28"/>
          <w:szCs w:val="28"/>
          <w:lang w:val="el-GR"/>
        </w:rPr>
      </w:pPr>
    </w:p>
    <w:p w14:paraId="660CFC8D" w14:textId="77777777" w:rsidR="009356E4" w:rsidRDefault="000F5861" w:rsidP="00E44A1F">
      <w:pPr>
        <w:spacing w:line="480" w:lineRule="auto"/>
        <w:ind w:right="-35"/>
        <w:jc w:val="both"/>
        <w:rPr>
          <w:rFonts w:ascii="Bookman Old Style" w:hAnsi="Bookman Old Style"/>
          <w:color w:val="000000"/>
          <w:sz w:val="28"/>
          <w:szCs w:val="28"/>
          <w:lang w:val="el-GR"/>
        </w:rPr>
      </w:pPr>
      <w:r>
        <w:rPr>
          <w:rFonts w:ascii="Bookman Old Style" w:hAnsi="Bookman Old Style"/>
          <w:color w:val="000000"/>
          <w:sz w:val="28"/>
          <w:szCs w:val="28"/>
          <w:lang w:val="el-GR"/>
        </w:rPr>
        <w:t>Υπό το φως όσων πιο πάνω έχουν εκτεθεί,</w:t>
      </w:r>
      <w:r w:rsidR="00C21B09">
        <w:rPr>
          <w:rFonts w:ascii="Bookman Old Style" w:hAnsi="Bookman Old Style"/>
          <w:color w:val="000000"/>
          <w:sz w:val="28"/>
          <w:szCs w:val="28"/>
          <w:lang w:val="el-GR"/>
        </w:rPr>
        <w:t xml:space="preserve"> δεν έχει </w:t>
      </w:r>
      <w:r w:rsidR="00C21B09" w:rsidRPr="00E44A1F">
        <w:rPr>
          <w:rFonts w:ascii="Bookman Old Style" w:hAnsi="Bookman Old Style" w:cs="Arial"/>
          <w:sz w:val="28"/>
          <w:szCs w:val="28"/>
          <w:lang w:val="el-GR"/>
        </w:rPr>
        <w:t>καταδειχθεί</w:t>
      </w:r>
      <w:r w:rsidR="00C21B09">
        <w:rPr>
          <w:rFonts w:ascii="Bookman Old Style" w:hAnsi="Bookman Old Style"/>
          <w:color w:val="000000"/>
          <w:sz w:val="28"/>
          <w:szCs w:val="28"/>
          <w:lang w:val="el-GR"/>
        </w:rPr>
        <w:t xml:space="preserve"> συζητήσιμη υπόθεση προς τεκμηρίωση της αξίωσης για παροχή άδειας.</w:t>
      </w:r>
    </w:p>
    <w:p w14:paraId="5AC8E6E3" w14:textId="77777777" w:rsidR="001A7AC0" w:rsidRDefault="001A7AC0" w:rsidP="00E44A1F">
      <w:pPr>
        <w:spacing w:line="480" w:lineRule="auto"/>
        <w:ind w:right="-35"/>
        <w:jc w:val="both"/>
        <w:rPr>
          <w:rFonts w:ascii="Bookman Old Style" w:hAnsi="Bookman Old Style"/>
          <w:color w:val="000000"/>
          <w:sz w:val="28"/>
          <w:szCs w:val="28"/>
          <w:lang w:val="el-GR"/>
        </w:rPr>
      </w:pPr>
    </w:p>
    <w:p w14:paraId="19CE26E0" w14:textId="1B418CE9" w:rsidR="000F5861" w:rsidRDefault="00C21B09" w:rsidP="00E44A1F">
      <w:pPr>
        <w:spacing w:line="480" w:lineRule="auto"/>
        <w:ind w:right="-35"/>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 Ως εκ τούτου, </w:t>
      </w:r>
      <w:r w:rsidRPr="00C21B09">
        <w:rPr>
          <w:rFonts w:ascii="Bookman Old Style" w:hAnsi="Bookman Old Style"/>
          <w:b/>
          <w:bCs/>
          <w:color w:val="000000"/>
          <w:sz w:val="28"/>
          <w:szCs w:val="28"/>
          <w:lang w:val="el-GR"/>
        </w:rPr>
        <w:t>η</w:t>
      </w:r>
      <w:r>
        <w:rPr>
          <w:rFonts w:ascii="Bookman Old Style" w:hAnsi="Bookman Old Style"/>
          <w:color w:val="000000"/>
          <w:sz w:val="28"/>
          <w:szCs w:val="28"/>
          <w:lang w:val="el-GR"/>
        </w:rPr>
        <w:t xml:space="preserve"> </w:t>
      </w:r>
      <w:r w:rsidR="000F5861" w:rsidRPr="000F5861">
        <w:rPr>
          <w:rFonts w:ascii="Bookman Old Style" w:hAnsi="Bookman Old Style"/>
          <w:b/>
          <w:bCs/>
          <w:color w:val="000000"/>
          <w:sz w:val="28"/>
          <w:szCs w:val="28"/>
          <w:lang w:val="el-GR"/>
        </w:rPr>
        <w:t>Αίτηση</w:t>
      </w:r>
      <w:r w:rsidR="000F5861">
        <w:rPr>
          <w:rFonts w:ascii="Bookman Old Style" w:hAnsi="Bookman Old Style"/>
          <w:color w:val="000000"/>
          <w:sz w:val="28"/>
          <w:szCs w:val="28"/>
          <w:lang w:val="el-GR"/>
        </w:rPr>
        <w:t xml:space="preserve"> </w:t>
      </w:r>
      <w:r w:rsidR="000F5861" w:rsidRPr="000F5861">
        <w:rPr>
          <w:rFonts w:ascii="Bookman Old Style" w:hAnsi="Bookman Old Style"/>
          <w:b/>
          <w:bCs/>
          <w:color w:val="000000"/>
          <w:sz w:val="28"/>
          <w:szCs w:val="28"/>
          <w:lang w:val="el-GR"/>
        </w:rPr>
        <w:t>απορρίπτεται</w:t>
      </w:r>
      <w:r w:rsidR="000F5861">
        <w:rPr>
          <w:rFonts w:ascii="Bookman Old Style" w:hAnsi="Bookman Old Style"/>
          <w:color w:val="000000"/>
          <w:sz w:val="28"/>
          <w:szCs w:val="28"/>
          <w:lang w:val="el-GR"/>
        </w:rPr>
        <w:t xml:space="preserve">. </w:t>
      </w:r>
    </w:p>
    <w:p w14:paraId="2235CCDE" w14:textId="77777777" w:rsidR="00F2219C" w:rsidRDefault="00F2219C" w:rsidP="00E44A1F">
      <w:pPr>
        <w:spacing w:line="480" w:lineRule="auto"/>
        <w:ind w:right="-35"/>
        <w:jc w:val="both"/>
        <w:rPr>
          <w:rFonts w:ascii="Bookman Old Style" w:hAnsi="Bookman Old Style"/>
          <w:color w:val="000000"/>
          <w:sz w:val="28"/>
          <w:szCs w:val="28"/>
          <w:lang w:val="el-GR"/>
        </w:rPr>
      </w:pPr>
    </w:p>
    <w:p w14:paraId="03A5BF6C" w14:textId="77777777" w:rsidR="001A7AC0" w:rsidRDefault="001A7AC0" w:rsidP="00E44A1F">
      <w:pPr>
        <w:spacing w:line="480" w:lineRule="auto"/>
        <w:ind w:right="-35"/>
        <w:jc w:val="both"/>
        <w:rPr>
          <w:rFonts w:ascii="Bookman Old Style" w:hAnsi="Bookman Old Style"/>
          <w:color w:val="000000"/>
          <w:sz w:val="28"/>
          <w:szCs w:val="28"/>
          <w:lang w:val="el-GR"/>
        </w:rPr>
      </w:pPr>
    </w:p>
    <w:p w14:paraId="6CAE1867" w14:textId="77777777" w:rsidR="00C570FB" w:rsidRPr="00CB356C" w:rsidRDefault="00C570FB" w:rsidP="00A1149A">
      <w:pPr>
        <w:spacing w:line="480" w:lineRule="auto"/>
        <w:ind w:left="993" w:right="-35" w:hanging="426"/>
        <w:jc w:val="both"/>
        <w:rPr>
          <w:rFonts w:ascii="Bookman Old Style" w:hAnsi="Bookman Old Style" w:cs="Arial"/>
          <w:iCs/>
          <w:sz w:val="26"/>
          <w:szCs w:val="26"/>
          <w:lang w:val="el-GR"/>
        </w:rPr>
      </w:pPr>
    </w:p>
    <w:p w14:paraId="2E7CB5BA" w14:textId="2749BA20" w:rsidR="004C29CA" w:rsidRPr="00D91562" w:rsidRDefault="004C29CA" w:rsidP="008E4CC4">
      <w:pPr>
        <w:spacing w:line="480" w:lineRule="auto"/>
        <w:ind w:right="-35"/>
        <w:jc w:val="both"/>
        <w:rPr>
          <w:rFonts w:ascii="Bookman Old Style" w:hAnsi="Bookman Old Style" w:cs="Arial"/>
          <w:b/>
          <w:sz w:val="28"/>
          <w:szCs w:val="28"/>
          <w:lang w:val="el-GR"/>
        </w:rPr>
      </w:pPr>
      <w:r w:rsidRPr="00D91562">
        <w:rPr>
          <w:rFonts w:ascii="Bookman Old Style" w:hAnsi="Bookman Old Style" w:cs="Arial"/>
          <w:b/>
          <w:sz w:val="28"/>
          <w:szCs w:val="28"/>
          <w:lang w:val="el-GR"/>
        </w:rPr>
        <w:tab/>
      </w:r>
      <w:r w:rsidRPr="00D91562">
        <w:rPr>
          <w:rFonts w:ascii="Bookman Old Style" w:hAnsi="Bookman Old Style" w:cs="Arial"/>
          <w:b/>
          <w:sz w:val="28"/>
          <w:szCs w:val="28"/>
          <w:lang w:val="el-GR"/>
        </w:rPr>
        <w:tab/>
      </w:r>
      <w:r w:rsidR="00C570FB" w:rsidRPr="00CF67DC">
        <w:rPr>
          <w:rFonts w:ascii="Bookman Old Style" w:hAnsi="Bookman Old Style" w:cs="Arial"/>
          <w:b/>
          <w:sz w:val="28"/>
          <w:szCs w:val="28"/>
          <w:lang w:val="el-GR"/>
        </w:rPr>
        <w:t xml:space="preserve">                      </w:t>
      </w:r>
      <w:r w:rsidR="007A0D8E" w:rsidRPr="00D91562">
        <w:rPr>
          <w:rFonts w:ascii="Bookman Old Style" w:hAnsi="Bookman Old Style" w:cs="Arial"/>
          <w:b/>
          <w:sz w:val="28"/>
          <w:szCs w:val="28"/>
          <w:lang w:val="el-GR"/>
        </w:rPr>
        <w:t>Λ. ΔΗΜΗΤΡΙΑΔΟΥ-ΑΝΔΡΕΟΥ</w:t>
      </w:r>
      <w:r w:rsidRPr="00D91562">
        <w:rPr>
          <w:rFonts w:ascii="Bookman Old Style" w:hAnsi="Bookman Old Style" w:cs="Arial"/>
          <w:b/>
          <w:sz w:val="28"/>
          <w:szCs w:val="28"/>
          <w:lang w:val="el-GR"/>
        </w:rPr>
        <w:t>,</w:t>
      </w:r>
      <w:r w:rsidR="00F2219C">
        <w:rPr>
          <w:rFonts w:ascii="Bookman Old Style" w:hAnsi="Bookman Old Style" w:cs="Arial"/>
          <w:b/>
          <w:sz w:val="28"/>
          <w:szCs w:val="28"/>
          <w:lang w:val="el-GR"/>
        </w:rPr>
        <w:t xml:space="preserve"> Δ.</w:t>
      </w:r>
    </w:p>
    <w:sectPr w:rsidR="004C29CA" w:rsidRPr="00D91562" w:rsidSect="002D08D5">
      <w:head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F07AF" w14:textId="77777777" w:rsidR="00BD56CA" w:rsidRDefault="00BD56CA" w:rsidP="00B43113">
      <w:r>
        <w:separator/>
      </w:r>
    </w:p>
  </w:endnote>
  <w:endnote w:type="continuationSeparator" w:id="0">
    <w:p w14:paraId="037D955C" w14:textId="77777777" w:rsidR="00BD56CA" w:rsidRDefault="00BD56CA"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1C5C6" w14:textId="77777777" w:rsidR="00BD56CA" w:rsidRDefault="00BD56CA" w:rsidP="00B43113">
      <w:r>
        <w:separator/>
      </w:r>
    </w:p>
  </w:footnote>
  <w:footnote w:type="continuationSeparator" w:id="0">
    <w:p w14:paraId="534EF3D1" w14:textId="77777777" w:rsidR="00BD56CA" w:rsidRDefault="00BD56CA" w:rsidP="00B43113">
      <w:r>
        <w:continuationSeparator/>
      </w:r>
    </w:p>
  </w:footnote>
  <w:footnote w:id="1">
    <w:p w14:paraId="487F04C4" w14:textId="02D17E3D" w:rsidR="002B585F" w:rsidRPr="002B585F" w:rsidRDefault="002B585F" w:rsidP="003A4838">
      <w:pPr>
        <w:pStyle w:val="FootnoteText"/>
        <w:spacing w:line="276" w:lineRule="auto"/>
        <w:rPr>
          <w:rFonts w:ascii="Bookman Old Style" w:hAnsi="Bookman Old Style"/>
          <w:sz w:val="22"/>
          <w:szCs w:val="22"/>
          <w:lang w:val="el-GR"/>
        </w:rPr>
      </w:pPr>
      <w:r w:rsidRPr="002B585F">
        <w:rPr>
          <w:rStyle w:val="FootnoteReference"/>
          <w:rFonts w:ascii="Bookman Old Style" w:hAnsi="Bookman Old Style"/>
          <w:sz w:val="22"/>
          <w:szCs w:val="22"/>
        </w:rPr>
        <w:footnoteRef/>
      </w:r>
      <w:r w:rsidRPr="002B585F">
        <w:rPr>
          <w:rFonts w:ascii="Bookman Old Style" w:hAnsi="Bookman Old Style"/>
          <w:sz w:val="22"/>
          <w:szCs w:val="22"/>
          <w:lang w:val="el-GR"/>
        </w:rPr>
        <w:t xml:space="preserve"> </w:t>
      </w:r>
      <w:bookmarkStart w:id="4" w:name="_ftn1"/>
      <w:bookmarkEnd w:id="4"/>
      <w:r w:rsidRPr="002B585F">
        <w:rPr>
          <w:rFonts w:ascii="Bookman Old Style" w:hAnsi="Bookman Old Style"/>
          <w:sz w:val="22"/>
          <w:szCs w:val="22"/>
          <w:lang w:val="el-GR"/>
        </w:rPr>
        <w:t xml:space="preserve">Δέστε το </w:t>
      </w:r>
      <w:r w:rsidRPr="002B585F">
        <w:rPr>
          <w:rFonts w:ascii="Bookman Old Style" w:hAnsi="Bookman Old Style"/>
          <w:b/>
          <w:bCs/>
          <w:sz w:val="22"/>
          <w:szCs w:val="22"/>
          <w:lang w:val="el-GR"/>
        </w:rPr>
        <w:t>Άρθρο 27</w:t>
      </w:r>
      <w:r w:rsidRPr="002B585F">
        <w:rPr>
          <w:rFonts w:ascii="Bookman Old Style" w:hAnsi="Bookman Old Style"/>
          <w:sz w:val="22"/>
          <w:szCs w:val="22"/>
          <w:lang w:val="el-GR"/>
        </w:rPr>
        <w:t xml:space="preserve"> </w:t>
      </w:r>
      <w:r w:rsidRPr="000B261A">
        <w:rPr>
          <w:rFonts w:ascii="Bookman Old Style" w:hAnsi="Bookman Old Style"/>
          <w:b/>
          <w:bCs/>
          <w:sz w:val="22"/>
          <w:szCs w:val="22"/>
          <w:lang w:val="el-GR"/>
        </w:rPr>
        <w:t>του Κ</w:t>
      </w:r>
      <w:r w:rsidRPr="002B585F">
        <w:rPr>
          <w:rFonts w:ascii="Bookman Old Style" w:hAnsi="Bookman Old Style"/>
          <w:b/>
          <w:bCs/>
          <w:sz w:val="22"/>
          <w:szCs w:val="22"/>
          <w:lang w:val="el-GR"/>
        </w:rPr>
        <w:t>εφ.</w:t>
      </w:r>
      <w:r w:rsidR="00813110">
        <w:rPr>
          <w:rFonts w:ascii="Bookman Old Style" w:hAnsi="Bookman Old Style"/>
          <w:b/>
          <w:bCs/>
          <w:sz w:val="22"/>
          <w:szCs w:val="22"/>
          <w:lang w:val="el-GR"/>
        </w:rPr>
        <w:t xml:space="preserve"> </w:t>
      </w:r>
      <w:r w:rsidRPr="002B585F">
        <w:rPr>
          <w:rFonts w:ascii="Bookman Old Style" w:hAnsi="Bookman Old Style"/>
          <w:b/>
          <w:bCs/>
          <w:sz w:val="22"/>
          <w:szCs w:val="22"/>
          <w:lang w:val="el-GR"/>
        </w:rPr>
        <w:t>155</w:t>
      </w:r>
      <w:r w:rsidR="00810EAF" w:rsidRPr="00810EAF">
        <w:rPr>
          <w:rFonts w:ascii="Bookman Old Style" w:hAnsi="Bookman Old Style"/>
          <w:sz w:val="22"/>
          <w:szCs w:val="22"/>
          <w:lang w:val="el-GR"/>
        </w:rPr>
        <w:t>.</w:t>
      </w:r>
    </w:p>
  </w:footnote>
  <w:footnote w:id="2">
    <w:p w14:paraId="3BC02E4F" w14:textId="328CDCB7" w:rsidR="002B585F" w:rsidRPr="002B585F" w:rsidRDefault="002B585F" w:rsidP="003A4838">
      <w:pPr>
        <w:pStyle w:val="FootnoteText"/>
        <w:spacing w:line="276" w:lineRule="auto"/>
        <w:rPr>
          <w:rFonts w:ascii="Bookman Old Style" w:hAnsi="Bookman Old Style"/>
          <w:sz w:val="22"/>
          <w:szCs w:val="22"/>
          <w:lang w:val="el-GR"/>
        </w:rPr>
      </w:pPr>
      <w:r w:rsidRPr="002B585F">
        <w:rPr>
          <w:rStyle w:val="FootnoteReference"/>
          <w:rFonts w:ascii="Bookman Old Style" w:hAnsi="Bookman Old Style"/>
          <w:sz w:val="22"/>
          <w:szCs w:val="22"/>
        </w:rPr>
        <w:footnoteRef/>
      </w:r>
      <w:r w:rsidRPr="002B585F">
        <w:rPr>
          <w:rFonts w:ascii="Bookman Old Style" w:hAnsi="Bookman Old Style"/>
          <w:sz w:val="22"/>
          <w:szCs w:val="22"/>
          <w:lang w:val="el-GR"/>
        </w:rPr>
        <w:t xml:space="preserve"> Δέστε </w:t>
      </w:r>
      <w:r w:rsidRPr="002B585F">
        <w:rPr>
          <w:rFonts w:ascii="Bookman Old Style" w:hAnsi="Bookman Old Style"/>
          <w:b/>
          <w:bCs/>
          <w:i/>
          <w:iCs/>
          <w:sz w:val="22"/>
          <w:szCs w:val="22"/>
          <w:lang w:val="el-GR"/>
        </w:rPr>
        <w:t>Αναφορικά με την Αίτηση του Σιακαλλή (Αρ. 1) (2001) 1 Α.Α.Δ. 282</w:t>
      </w:r>
      <w:r w:rsidRPr="002B585F">
        <w:rPr>
          <w:rFonts w:ascii="Bookman Old Style" w:hAnsi="Bookman Old Style"/>
          <w:i/>
          <w:iCs/>
          <w:sz w:val="22"/>
          <w:szCs w:val="22"/>
          <w:lang w:val="el-GR"/>
        </w:rPr>
        <w:t>.</w:t>
      </w:r>
    </w:p>
  </w:footnote>
  <w:footnote w:id="3">
    <w:p w14:paraId="62740120" w14:textId="0AC291A7" w:rsidR="0033416E" w:rsidRPr="0068733F" w:rsidRDefault="0033416E" w:rsidP="0033416E">
      <w:pPr>
        <w:pStyle w:val="FootnoteText"/>
        <w:spacing w:line="276" w:lineRule="auto"/>
        <w:jc w:val="both"/>
        <w:rPr>
          <w:rFonts w:ascii="Bookman Old Style" w:hAnsi="Bookman Old Style"/>
          <w:sz w:val="22"/>
          <w:szCs w:val="22"/>
          <w:lang w:val="el-GR"/>
        </w:rPr>
      </w:pPr>
      <w:r w:rsidRPr="0033416E">
        <w:rPr>
          <w:rStyle w:val="FootnoteReference"/>
          <w:rFonts w:ascii="Bookman Old Style" w:hAnsi="Bookman Old Style"/>
          <w:sz w:val="22"/>
          <w:szCs w:val="22"/>
        </w:rPr>
        <w:footnoteRef/>
      </w:r>
      <w:r w:rsidRPr="0033416E">
        <w:rPr>
          <w:rFonts w:ascii="Bookman Old Style" w:hAnsi="Bookman Old Style"/>
          <w:sz w:val="22"/>
          <w:szCs w:val="22"/>
          <w:lang w:val="el-GR"/>
        </w:rPr>
        <w:t xml:space="preserve"> Στ</w:t>
      </w:r>
      <w:r w:rsidRPr="0068733F">
        <w:rPr>
          <w:rFonts w:ascii="Bookman Old Style" w:hAnsi="Bookman Old Style"/>
          <w:sz w:val="22"/>
          <w:szCs w:val="22"/>
          <w:lang w:val="el-GR"/>
        </w:rPr>
        <w:t>ην υπόθεση</w:t>
      </w:r>
      <w:r w:rsidRPr="0033416E">
        <w:rPr>
          <w:rFonts w:ascii="Bookman Old Style" w:hAnsi="Bookman Old Style"/>
          <w:sz w:val="22"/>
          <w:szCs w:val="22"/>
        </w:rPr>
        <w:t> </w:t>
      </w:r>
      <w:r w:rsidRPr="0068733F">
        <w:rPr>
          <w:rFonts w:ascii="Bookman Old Style" w:hAnsi="Bookman Old Style"/>
          <w:sz w:val="22"/>
          <w:szCs w:val="22"/>
          <w:lang w:val="el-GR"/>
        </w:rPr>
        <w:t xml:space="preserve"> του ΔΕΕ </w:t>
      </w:r>
      <w:r w:rsidRPr="0033416E">
        <w:rPr>
          <w:rFonts w:ascii="Bookman Old Style" w:hAnsi="Bookman Old Style"/>
          <w:b/>
          <w:bCs/>
          <w:i/>
          <w:iCs/>
          <w:sz w:val="22"/>
          <w:szCs w:val="22"/>
          <w:lang w:val="en-US"/>
        </w:rPr>
        <w:t>Case</w:t>
      </w:r>
      <w:r w:rsidRPr="0033416E">
        <w:rPr>
          <w:rFonts w:ascii="Bookman Old Style" w:hAnsi="Bookman Old Style"/>
          <w:b/>
          <w:bCs/>
          <w:i/>
          <w:iCs/>
          <w:sz w:val="22"/>
          <w:szCs w:val="22"/>
          <w:lang w:val="el-GR"/>
        </w:rPr>
        <w:t xml:space="preserve"> </w:t>
      </w:r>
      <w:r w:rsidRPr="0033416E">
        <w:rPr>
          <w:rFonts w:ascii="Bookman Old Style" w:hAnsi="Bookman Old Style"/>
          <w:b/>
          <w:bCs/>
          <w:i/>
          <w:iCs/>
          <w:sz w:val="22"/>
          <w:szCs w:val="22"/>
          <w:lang w:val="en-US"/>
        </w:rPr>
        <w:t>C</w:t>
      </w:r>
      <w:r w:rsidRPr="0068733F">
        <w:rPr>
          <w:rFonts w:ascii="Bookman Old Style" w:hAnsi="Bookman Old Style"/>
          <w:b/>
          <w:bCs/>
          <w:i/>
          <w:iCs/>
          <w:sz w:val="22"/>
          <w:szCs w:val="22"/>
          <w:lang w:val="el-GR"/>
        </w:rPr>
        <w:t>-663/18</w:t>
      </w:r>
      <w:r w:rsidRPr="0068733F">
        <w:rPr>
          <w:rFonts w:ascii="Bookman Old Style" w:hAnsi="Bookman Old Style"/>
          <w:sz w:val="22"/>
          <w:szCs w:val="22"/>
          <w:lang w:val="el-GR"/>
        </w:rPr>
        <w:t>,</w:t>
      </w:r>
      <w:r w:rsidRPr="0068733F">
        <w:rPr>
          <w:rFonts w:ascii="Bookman Old Style" w:hAnsi="Bookman Old Style"/>
          <w:b/>
          <w:bCs/>
          <w:i/>
          <w:iCs/>
          <w:sz w:val="22"/>
          <w:szCs w:val="22"/>
          <w:lang w:val="el-GR"/>
        </w:rPr>
        <w:t xml:space="preserve"> </w:t>
      </w:r>
      <w:r w:rsidRPr="0068733F">
        <w:rPr>
          <w:rFonts w:ascii="Bookman Old Style" w:hAnsi="Bookman Old Style"/>
          <w:sz w:val="22"/>
          <w:szCs w:val="22"/>
          <w:lang w:val="el-GR"/>
        </w:rPr>
        <w:t>ημερ. 19/11/2020</w:t>
      </w:r>
      <w:r>
        <w:rPr>
          <w:rFonts w:ascii="Bookman Old Style" w:hAnsi="Bookman Old Style"/>
          <w:sz w:val="22"/>
          <w:szCs w:val="22"/>
          <w:lang w:val="el-GR"/>
        </w:rPr>
        <w:t xml:space="preserve"> λέχθηκε -</w:t>
      </w:r>
      <w:r w:rsidRPr="0068733F">
        <w:rPr>
          <w:rFonts w:ascii="Bookman Old Style" w:hAnsi="Bookman Old Style"/>
          <w:b/>
          <w:bCs/>
          <w:i/>
          <w:iCs/>
          <w:sz w:val="22"/>
          <w:szCs w:val="22"/>
          <w:lang w:val="el-GR"/>
        </w:rPr>
        <w:t xml:space="preserve"> </w:t>
      </w:r>
      <w:r w:rsidRPr="0068733F">
        <w:rPr>
          <w:rFonts w:ascii="Bookman Old Style" w:hAnsi="Bookman Old Style"/>
          <w:sz w:val="22"/>
          <w:szCs w:val="22"/>
          <w:lang w:val="el-GR"/>
        </w:rPr>
        <w:t xml:space="preserve">στο πλαίσιο προδικαστικού ερωτήματος - ότι </w:t>
      </w:r>
      <w:r w:rsidRPr="0068733F">
        <w:rPr>
          <w:rFonts w:ascii="Bookman Old Style" w:hAnsi="Bookman Old Style"/>
          <w:b/>
          <w:bCs/>
          <w:sz w:val="22"/>
          <w:szCs w:val="22"/>
          <w:lang w:val="el-GR"/>
        </w:rPr>
        <w:t>η απαγόρευση εμπορίας</w:t>
      </w:r>
      <w:r w:rsidRPr="0068733F">
        <w:rPr>
          <w:rFonts w:ascii="Bookman Old Style" w:hAnsi="Bookman Old Style"/>
          <w:sz w:val="22"/>
          <w:szCs w:val="22"/>
          <w:lang w:val="el-GR"/>
        </w:rPr>
        <w:t xml:space="preserve"> της νομίμως παραγόμενης σε άλλο κράτος μέλος </w:t>
      </w:r>
      <w:r w:rsidRPr="0033416E">
        <w:rPr>
          <w:rFonts w:ascii="Bookman Old Style" w:hAnsi="Bookman Old Style"/>
          <w:sz w:val="22"/>
          <w:szCs w:val="22"/>
        </w:rPr>
        <w:t>CBD</w:t>
      </w:r>
      <w:r w:rsidRPr="0033416E">
        <w:rPr>
          <w:rFonts w:ascii="Bookman Old Style" w:hAnsi="Bookman Old Style"/>
          <w:sz w:val="22"/>
          <w:szCs w:val="22"/>
          <w:lang w:val="el-GR"/>
        </w:rPr>
        <w:t xml:space="preserve"> </w:t>
      </w:r>
      <w:r w:rsidRPr="0068733F">
        <w:rPr>
          <w:rFonts w:ascii="Bookman Old Style" w:hAnsi="Bookman Old Style"/>
          <w:sz w:val="22"/>
          <w:szCs w:val="22"/>
          <w:lang w:val="el-GR"/>
        </w:rPr>
        <w:t xml:space="preserve">όταν αυτό εκχυλίζεται από το σύνολο του φυτού </w:t>
      </w:r>
      <w:r w:rsidRPr="0033416E">
        <w:rPr>
          <w:rFonts w:ascii="Bookman Old Style" w:hAnsi="Bookman Old Style"/>
          <w:sz w:val="22"/>
          <w:szCs w:val="22"/>
          <w:lang w:val="en-US"/>
        </w:rPr>
        <w:t>cannabis</w:t>
      </w:r>
      <w:r w:rsidRPr="0033416E">
        <w:rPr>
          <w:rFonts w:ascii="Bookman Old Style" w:hAnsi="Bookman Old Style"/>
          <w:sz w:val="22"/>
          <w:szCs w:val="22"/>
          <w:lang w:val="el-GR"/>
        </w:rPr>
        <w:t xml:space="preserve"> </w:t>
      </w:r>
      <w:r w:rsidRPr="0033416E">
        <w:rPr>
          <w:rFonts w:ascii="Bookman Old Style" w:hAnsi="Bookman Old Style"/>
          <w:sz w:val="22"/>
          <w:szCs w:val="22"/>
          <w:lang w:val="en-US"/>
        </w:rPr>
        <w:t>sativa</w:t>
      </w:r>
      <w:r w:rsidRPr="0033416E">
        <w:rPr>
          <w:rFonts w:ascii="Bookman Old Style" w:hAnsi="Bookman Old Style"/>
          <w:sz w:val="22"/>
          <w:szCs w:val="22"/>
          <w:lang w:val="el-GR"/>
        </w:rPr>
        <w:t xml:space="preserve"> </w:t>
      </w:r>
      <w:r w:rsidRPr="0068733F">
        <w:rPr>
          <w:rFonts w:ascii="Bookman Old Style" w:hAnsi="Bookman Old Style"/>
          <w:sz w:val="22"/>
          <w:szCs w:val="22"/>
          <w:lang w:val="el-GR"/>
        </w:rPr>
        <w:t>και όχι μόνον από τις ίνες και τους σπόρους του, συνιστά μέτρο ισοδύναμου αποτελέσματος προς ποσοτικούς περιορισμούς κατά την έννοια του Άρθρου 34 της ΣΛΕΕ το οποίο διασφαλίζει την ελεύθερη κυκλοφορία εμπορευμάτων σε ολόκληρη την αγορά της Ευρωπαϊκής Ένωσης.</w:t>
      </w:r>
    </w:p>
    <w:p w14:paraId="3FCBECE2" w14:textId="2A61ACDE" w:rsidR="0033416E" w:rsidRPr="0068733F" w:rsidRDefault="0033416E" w:rsidP="0033416E">
      <w:pPr>
        <w:spacing w:before="100" w:beforeAutospacing="1" w:after="100" w:afterAutospacing="1" w:line="276" w:lineRule="auto"/>
        <w:jc w:val="both"/>
        <w:rPr>
          <w:rFonts w:ascii="Bookman Old Style" w:hAnsi="Bookman Old Style"/>
          <w:sz w:val="22"/>
          <w:szCs w:val="22"/>
          <w:lang w:val="el-GR"/>
        </w:rPr>
      </w:pPr>
      <w:r w:rsidRPr="0033416E">
        <w:rPr>
          <w:rFonts w:ascii="Bookman Old Style" w:hAnsi="Bookman Old Style"/>
          <w:sz w:val="22"/>
          <w:szCs w:val="22"/>
        </w:rPr>
        <w:t> </w:t>
      </w:r>
      <w:r w:rsidRPr="0068733F">
        <w:rPr>
          <w:rFonts w:ascii="Bookman Old Style" w:hAnsi="Bookman Old Style"/>
          <w:sz w:val="22"/>
          <w:szCs w:val="22"/>
          <w:lang w:val="el-GR"/>
        </w:rPr>
        <w:t xml:space="preserve">Σχετική είναι η </w:t>
      </w:r>
      <w:r w:rsidRPr="0068733F">
        <w:rPr>
          <w:rFonts w:ascii="Bookman Old Style" w:hAnsi="Bookman Old Style"/>
          <w:sz w:val="22"/>
          <w:szCs w:val="22"/>
          <w:u w:val="single"/>
          <w:lang w:val="el-GR"/>
        </w:rPr>
        <w:t>παράγραφος 82</w:t>
      </w:r>
      <w:r w:rsidRPr="0068733F">
        <w:rPr>
          <w:rFonts w:ascii="Bookman Old Style" w:hAnsi="Bookman Old Style"/>
          <w:sz w:val="22"/>
          <w:szCs w:val="22"/>
          <w:lang w:val="el-GR"/>
        </w:rPr>
        <w:t xml:space="preserve"> της Απόφασης όπου αναφέρθηκαν τα εξής:</w:t>
      </w:r>
    </w:p>
    <w:p w14:paraId="23DF4863" w14:textId="42289825" w:rsidR="0033416E" w:rsidRDefault="0033416E" w:rsidP="0033416E">
      <w:pPr>
        <w:spacing w:before="100" w:beforeAutospacing="1" w:after="100" w:afterAutospacing="1" w:line="276" w:lineRule="auto"/>
        <w:jc w:val="both"/>
        <w:rPr>
          <w:rFonts w:ascii="Bookman Old Style" w:hAnsi="Bookman Old Style"/>
          <w:sz w:val="22"/>
          <w:szCs w:val="22"/>
        </w:rPr>
      </w:pPr>
      <w:r w:rsidRPr="0033416E">
        <w:rPr>
          <w:rFonts w:ascii="Bookman Old Style" w:hAnsi="Bookman Old Style"/>
          <w:sz w:val="22"/>
          <w:szCs w:val="22"/>
        </w:rPr>
        <w:t> “</w:t>
      </w:r>
      <w:r w:rsidRPr="0033416E">
        <w:rPr>
          <w:rFonts w:ascii="Bookman Old Style" w:hAnsi="Bookman Old Style"/>
          <w:i/>
          <w:iCs/>
          <w:sz w:val="22"/>
          <w:szCs w:val="22"/>
        </w:rPr>
        <w:t xml:space="preserve">In the case at hand, it is not disputed that </w:t>
      </w:r>
      <w:r w:rsidRPr="0033416E">
        <w:rPr>
          <w:rFonts w:ascii="Bookman Old Style" w:hAnsi="Bookman Old Style"/>
          <w:b/>
          <w:bCs/>
          <w:i/>
          <w:iCs/>
          <w:sz w:val="22"/>
          <w:szCs w:val="22"/>
        </w:rPr>
        <w:t>the prohibition on marketing</w:t>
      </w:r>
      <w:r w:rsidRPr="0033416E">
        <w:rPr>
          <w:rFonts w:ascii="Bookman Old Style" w:hAnsi="Bookman Old Style"/>
          <w:i/>
          <w:iCs/>
          <w:sz w:val="22"/>
          <w:szCs w:val="22"/>
        </w:rPr>
        <w:t xml:space="preserve"> CBD lawfully produced in another Member State – when it is extracted from the Cannabis sativa plant in its entirety and not solely from its fibre and seeds – constitutes a measure having equivalent effect to quantitative restrictions within the meaning of Article 34 TFEU</w:t>
      </w:r>
      <w:r w:rsidRPr="0033416E">
        <w:rPr>
          <w:rFonts w:ascii="Bookman Old Style" w:hAnsi="Bookman Old Style"/>
          <w:sz w:val="22"/>
          <w:szCs w:val="22"/>
        </w:rPr>
        <w:t>”.</w:t>
      </w:r>
    </w:p>
    <w:p w14:paraId="5A0E12C6" w14:textId="06B57648" w:rsidR="0033416E" w:rsidRPr="0033416E" w:rsidRDefault="0033416E" w:rsidP="0033416E">
      <w:pPr>
        <w:spacing w:before="100" w:beforeAutospacing="1" w:after="100" w:afterAutospacing="1" w:line="276" w:lineRule="auto"/>
        <w:jc w:val="both"/>
        <w:rPr>
          <w:rFonts w:ascii="Bookman Old Style" w:hAnsi="Bookman Old Style"/>
          <w:sz w:val="22"/>
          <w:szCs w:val="22"/>
          <w:lang w:val="el-GR"/>
        </w:rPr>
      </w:pPr>
      <w:r>
        <w:rPr>
          <w:lang w:val="en-US"/>
        </w:rPr>
        <w:t> </w:t>
      </w:r>
      <w:r w:rsidRPr="0068733F">
        <w:rPr>
          <w:lang w:val="en-US"/>
        </w:rPr>
        <w:t xml:space="preserve">                                         </w:t>
      </w:r>
      <w:r w:rsidRPr="0033416E">
        <w:rPr>
          <w:rFonts w:ascii="Bookman Old Style" w:hAnsi="Bookman Old Style"/>
          <w:sz w:val="22"/>
          <w:szCs w:val="22"/>
          <w:lang w:val="el-GR"/>
        </w:rPr>
        <w:t>(η έμφαση είναι του</w:t>
      </w:r>
      <w:r w:rsidRPr="0033416E">
        <w:rPr>
          <w:rFonts w:ascii="Bookman Old Style" w:hAnsi="Bookman Old Style"/>
          <w:sz w:val="22"/>
          <w:szCs w:val="22"/>
        </w:rPr>
        <w:t> </w:t>
      </w:r>
      <w:r w:rsidRPr="0033416E">
        <w:rPr>
          <w:rFonts w:ascii="Bookman Old Style" w:hAnsi="Bookman Old Style"/>
          <w:sz w:val="22"/>
          <w:szCs w:val="22"/>
          <w:lang w:val="el-GR"/>
        </w:rPr>
        <w:t xml:space="preserve"> παρόντος Δικαστηρίου)</w:t>
      </w:r>
    </w:p>
    <w:p w14:paraId="1AF59C13" w14:textId="47E8C466" w:rsidR="0033416E" w:rsidRPr="0068733F" w:rsidRDefault="0033416E">
      <w:pPr>
        <w:pStyle w:val="FootnoteText"/>
        <w:rPr>
          <w:lang w:val="el-GR"/>
        </w:rPr>
      </w:pPr>
    </w:p>
  </w:footnote>
  <w:footnote w:id="4">
    <w:p w14:paraId="03C575C0" w14:textId="77777777" w:rsidR="00C570FB" w:rsidRPr="0068733F" w:rsidRDefault="00C570FB" w:rsidP="00C570FB">
      <w:pPr>
        <w:pStyle w:val="NormalWeb"/>
        <w:jc w:val="both"/>
        <w:rPr>
          <w:rFonts w:ascii="Bookman Old Style" w:hAnsi="Bookman Old Style"/>
          <w:i/>
          <w:iCs/>
          <w:color w:val="000000"/>
          <w:sz w:val="22"/>
          <w:szCs w:val="22"/>
          <w:lang w:val="el-GR"/>
        </w:rPr>
      </w:pPr>
      <w:r w:rsidRPr="00C570FB">
        <w:rPr>
          <w:rStyle w:val="FootnoteReference"/>
          <w:rFonts w:ascii="Bookman Old Style" w:hAnsi="Bookman Old Style"/>
          <w:i/>
          <w:iCs/>
          <w:sz w:val="22"/>
          <w:szCs w:val="22"/>
        </w:rPr>
        <w:footnoteRef/>
      </w:r>
      <w:r w:rsidRPr="0068733F">
        <w:rPr>
          <w:rFonts w:ascii="Bookman Old Style" w:hAnsi="Bookman Old Style"/>
          <w:i/>
          <w:iCs/>
          <w:sz w:val="22"/>
          <w:szCs w:val="22"/>
          <w:lang w:val="el-GR"/>
        </w:rPr>
        <w:t xml:space="preserve"> </w:t>
      </w:r>
      <w:r w:rsidRPr="0068733F">
        <w:rPr>
          <w:rFonts w:ascii="Bookman Old Style" w:hAnsi="Bookman Old Style"/>
          <w:i/>
          <w:iCs/>
          <w:color w:val="000000"/>
          <w:sz w:val="22"/>
          <w:szCs w:val="22"/>
          <w:lang w:val="el-GR"/>
        </w:rPr>
        <w:t>32.-(1) Όταν, κατά την εκτέλεση εντάλματος έρευνας, κατασχεθεί οτιδήποτε και προσκομιστεί ενώπιον Δικαστή, όπως προβλέπεται στο άρθρο 27, το πράγμα αυτό, τηρουμένων των διατάξεων του εδαφίου (2) του άρθρου αυτού, δύναται να κατακρατηθεί από τέτοιο πρόσωπο ως ο Δικαστής ήθελε ορίσει, λαμβανόμενης πάντοτε εύλογης φροντίδας για τη διατήρηση του μέχρι την αποπεράτωση οποιασδήποτε ποινικής διαδικασίας η οποία είναι δυνατό να διεξαχθεί σε σχέση με αυτό.</w:t>
      </w:r>
    </w:p>
    <w:p w14:paraId="4942FDF9" w14:textId="77777777" w:rsidR="00C570FB" w:rsidRPr="0068733F" w:rsidRDefault="00C570FB" w:rsidP="00C570FB">
      <w:pPr>
        <w:pStyle w:val="NormalWeb"/>
        <w:jc w:val="both"/>
        <w:rPr>
          <w:rFonts w:ascii="Bookman Old Style" w:hAnsi="Bookman Old Style"/>
          <w:i/>
          <w:iCs/>
          <w:color w:val="000000"/>
          <w:sz w:val="22"/>
          <w:szCs w:val="22"/>
          <w:lang w:val="el-GR"/>
        </w:rPr>
      </w:pPr>
      <w:r w:rsidRPr="0068733F">
        <w:rPr>
          <w:rFonts w:ascii="Bookman Old Style" w:hAnsi="Bookman Old Style"/>
          <w:i/>
          <w:iCs/>
          <w:color w:val="000000"/>
          <w:sz w:val="22"/>
          <w:szCs w:val="22"/>
          <w:lang w:val="el-GR"/>
        </w:rPr>
        <w:t>(2) Όταν οτιδήποτε που κατασχέθηκε δυνάμει εντάλματος έρευνας και προσκομίστηκε ενώπιον Δικαστή υπόκειται σε φθορά ή είναι επιβλαβές, το πράγμα αυτό δύναται αμέσως να διατεθεί με τέτοιο τρόπο όπως ο Δικαστής ήθελε ορίσει.</w:t>
      </w:r>
    </w:p>
    <w:p w14:paraId="2A160E47" w14:textId="77777777" w:rsidR="00C570FB" w:rsidRPr="0068733F" w:rsidRDefault="00C570FB" w:rsidP="00C570FB">
      <w:pPr>
        <w:pStyle w:val="NormalWeb"/>
        <w:jc w:val="both"/>
        <w:rPr>
          <w:rFonts w:ascii="Bookman Old Style" w:hAnsi="Bookman Old Style"/>
          <w:i/>
          <w:iCs/>
          <w:color w:val="000000"/>
          <w:sz w:val="22"/>
          <w:szCs w:val="22"/>
          <w:lang w:val="el-GR"/>
        </w:rPr>
      </w:pPr>
      <w:r w:rsidRPr="0068733F">
        <w:rPr>
          <w:rFonts w:ascii="Bookman Old Style" w:hAnsi="Bookman Old Style"/>
          <w:i/>
          <w:iCs/>
          <w:color w:val="000000"/>
          <w:sz w:val="22"/>
          <w:szCs w:val="22"/>
          <w:lang w:val="el-GR"/>
        </w:rPr>
        <w:t>(3) Αν ο Δικαστής είναι της γνώμης ότι οτιδήποτε που κατασχέθηκε δυνάμει εντάλματος έρευνας δεν απαιτείται πλέον για οποιαδήποτε ποινική διαδικασία, τότε εκτός αν εξουσιοδοτείται ή υποχρεώνεται από αυτόν ή οποιοδήποτε άλλο Νόμο να διαθέσει αυτό διαφορετικά, διατάσσει-</w:t>
      </w:r>
    </w:p>
    <w:p w14:paraId="2B2E84F3" w14:textId="77777777" w:rsidR="00C570FB" w:rsidRPr="0068733F" w:rsidRDefault="00C570FB" w:rsidP="00C570FB">
      <w:pPr>
        <w:pStyle w:val="indent10"/>
        <w:spacing w:before="0" w:beforeAutospacing="0" w:after="0" w:afterAutospacing="0"/>
        <w:ind w:left="448"/>
        <w:jc w:val="both"/>
        <w:rPr>
          <w:rFonts w:ascii="Bookman Old Style" w:hAnsi="Bookman Old Style"/>
          <w:i/>
          <w:iCs/>
          <w:color w:val="000000"/>
          <w:sz w:val="22"/>
          <w:szCs w:val="22"/>
          <w:lang w:val="el-GR"/>
        </w:rPr>
      </w:pPr>
      <w:r w:rsidRPr="0068733F">
        <w:rPr>
          <w:rFonts w:ascii="Bookman Old Style" w:hAnsi="Bookman Old Style"/>
          <w:i/>
          <w:iCs/>
          <w:color w:val="000000"/>
          <w:sz w:val="22"/>
          <w:szCs w:val="22"/>
          <w:lang w:val="el-GR"/>
        </w:rPr>
        <w:t>(α) όπως το πράγμα ή οποιοδήποτε μέρος του επιστραφεί στο πρόσωπο το οποίο φαίνεται στο Δικαστή ότι έχει δικαίωμα σε αυτό και, αν το εν λόγω πρόσωπο είναι ο κατηγορούμενος, όπως επιστραφεί στον ίδιο ή σε τέτοιο άλλο πρόσωπο ως ο κατηγορούμενος ήθελε ορίσει ή</w:t>
      </w:r>
    </w:p>
    <w:p w14:paraId="1739D3DE" w14:textId="77777777" w:rsidR="00C570FB" w:rsidRPr="0068733F" w:rsidRDefault="00C570FB" w:rsidP="00C570FB">
      <w:pPr>
        <w:pStyle w:val="indent10"/>
        <w:spacing w:before="0" w:beforeAutospacing="0" w:after="0" w:afterAutospacing="0"/>
        <w:ind w:left="448"/>
        <w:jc w:val="both"/>
        <w:rPr>
          <w:rFonts w:ascii="Bookman Old Style" w:hAnsi="Bookman Old Style"/>
          <w:i/>
          <w:iCs/>
          <w:color w:val="000000"/>
          <w:sz w:val="22"/>
          <w:szCs w:val="22"/>
          <w:lang w:val="el-GR"/>
        </w:rPr>
      </w:pPr>
    </w:p>
    <w:p w14:paraId="32AF18DF" w14:textId="77777777" w:rsidR="00C570FB" w:rsidRPr="0068733F" w:rsidRDefault="00C570FB" w:rsidP="00C570FB">
      <w:pPr>
        <w:pStyle w:val="indent10"/>
        <w:spacing w:before="0" w:beforeAutospacing="0" w:after="0" w:afterAutospacing="0"/>
        <w:ind w:left="448"/>
        <w:jc w:val="both"/>
        <w:rPr>
          <w:rFonts w:ascii="Bookman Old Style" w:hAnsi="Bookman Old Style"/>
          <w:i/>
          <w:iCs/>
          <w:color w:val="000000"/>
          <w:sz w:val="22"/>
          <w:szCs w:val="22"/>
          <w:lang w:val="el-GR"/>
        </w:rPr>
      </w:pPr>
      <w:r w:rsidRPr="0068733F">
        <w:rPr>
          <w:rFonts w:ascii="Bookman Old Style" w:hAnsi="Bookman Old Style"/>
          <w:i/>
          <w:iCs/>
          <w:color w:val="000000"/>
          <w:sz w:val="22"/>
          <w:szCs w:val="22"/>
          <w:lang w:val="el-GR"/>
        </w:rPr>
        <w:t>(β) όπως το πράγμα αυτό, αν ανήκει στον κατηγορούμενο, ή μέρος αυτού, χρησιμοποιηθεί για την πληρωμή οποιωνδήποτε εξόδων ή αποζημιώσεων τα οποία ο κατηγορούμενος διατάχτηκε να πληρώσει.</w:t>
      </w:r>
    </w:p>
    <w:p w14:paraId="67D40720" w14:textId="0259FE81" w:rsidR="00C570FB" w:rsidRPr="00C570FB" w:rsidRDefault="00C570FB" w:rsidP="00C570FB">
      <w:pPr>
        <w:pStyle w:val="FootnoteText"/>
        <w:rPr>
          <w:i/>
          <w:iCs/>
          <w:lang w:val="el-G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FB185" w14:textId="61E64AA0" w:rsidR="00CF75E4" w:rsidRDefault="00CF75E4">
    <w:pPr>
      <w:pStyle w:val="Header"/>
      <w:jc w:val="center"/>
    </w:pPr>
    <w:r>
      <w:fldChar w:fldCharType="begin"/>
    </w:r>
    <w:r>
      <w:instrText xml:space="preserve"> PAGE   \* MERGEFORMAT </w:instrText>
    </w:r>
    <w:r>
      <w:fldChar w:fldCharType="separate"/>
    </w:r>
    <w:r w:rsidR="00EF1219">
      <w:rPr>
        <w:noProof/>
      </w:rPr>
      <w:t>21</w:t>
    </w:r>
    <w:r>
      <w:fldChar w:fldCharType="end"/>
    </w:r>
  </w:p>
  <w:p w14:paraId="53DA31ED"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CBD5A5A"/>
    <w:multiLevelType w:val="hybridMultilevel"/>
    <w:tmpl w:val="D7600808"/>
    <w:lvl w:ilvl="0" w:tplc="0C000001">
      <w:start w:val="1"/>
      <w:numFmt w:val="bullet"/>
      <w:lvlText w:val=""/>
      <w:lvlJc w:val="left"/>
      <w:pPr>
        <w:ind w:left="810" w:hanging="360"/>
      </w:pPr>
      <w:rPr>
        <w:rFonts w:ascii="Symbol" w:hAnsi="Symbol" w:hint="default"/>
      </w:rPr>
    </w:lvl>
    <w:lvl w:ilvl="1" w:tplc="0C000003" w:tentative="1">
      <w:start w:val="1"/>
      <w:numFmt w:val="bullet"/>
      <w:lvlText w:val="o"/>
      <w:lvlJc w:val="left"/>
      <w:pPr>
        <w:ind w:left="1530" w:hanging="360"/>
      </w:pPr>
      <w:rPr>
        <w:rFonts w:ascii="Courier New" w:hAnsi="Courier New" w:cs="Courier New" w:hint="default"/>
      </w:rPr>
    </w:lvl>
    <w:lvl w:ilvl="2" w:tplc="0C000005" w:tentative="1">
      <w:start w:val="1"/>
      <w:numFmt w:val="bullet"/>
      <w:lvlText w:val=""/>
      <w:lvlJc w:val="left"/>
      <w:pPr>
        <w:ind w:left="2250" w:hanging="360"/>
      </w:pPr>
      <w:rPr>
        <w:rFonts w:ascii="Wingdings" w:hAnsi="Wingdings" w:hint="default"/>
      </w:rPr>
    </w:lvl>
    <w:lvl w:ilvl="3" w:tplc="0C000001" w:tentative="1">
      <w:start w:val="1"/>
      <w:numFmt w:val="bullet"/>
      <w:lvlText w:val=""/>
      <w:lvlJc w:val="left"/>
      <w:pPr>
        <w:ind w:left="2970" w:hanging="360"/>
      </w:pPr>
      <w:rPr>
        <w:rFonts w:ascii="Symbol" w:hAnsi="Symbol" w:hint="default"/>
      </w:rPr>
    </w:lvl>
    <w:lvl w:ilvl="4" w:tplc="0C000003" w:tentative="1">
      <w:start w:val="1"/>
      <w:numFmt w:val="bullet"/>
      <w:lvlText w:val="o"/>
      <w:lvlJc w:val="left"/>
      <w:pPr>
        <w:ind w:left="3690" w:hanging="360"/>
      </w:pPr>
      <w:rPr>
        <w:rFonts w:ascii="Courier New" w:hAnsi="Courier New" w:cs="Courier New" w:hint="default"/>
      </w:rPr>
    </w:lvl>
    <w:lvl w:ilvl="5" w:tplc="0C000005" w:tentative="1">
      <w:start w:val="1"/>
      <w:numFmt w:val="bullet"/>
      <w:lvlText w:val=""/>
      <w:lvlJc w:val="left"/>
      <w:pPr>
        <w:ind w:left="4410" w:hanging="360"/>
      </w:pPr>
      <w:rPr>
        <w:rFonts w:ascii="Wingdings" w:hAnsi="Wingdings" w:hint="default"/>
      </w:rPr>
    </w:lvl>
    <w:lvl w:ilvl="6" w:tplc="0C000001" w:tentative="1">
      <w:start w:val="1"/>
      <w:numFmt w:val="bullet"/>
      <w:lvlText w:val=""/>
      <w:lvlJc w:val="left"/>
      <w:pPr>
        <w:ind w:left="5130" w:hanging="360"/>
      </w:pPr>
      <w:rPr>
        <w:rFonts w:ascii="Symbol" w:hAnsi="Symbol" w:hint="default"/>
      </w:rPr>
    </w:lvl>
    <w:lvl w:ilvl="7" w:tplc="0C000003" w:tentative="1">
      <w:start w:val="1"/>
      <w:numFmt w:val="bullet"/>
      <w:lvlText w:val="o"/>
      <w:lvlJc w:val="left"/>
      <w:pPr>
        <w:ind w:left="5850" w:hanging="360"/>
      </w:pPr>
      <w:rPr>
        <w:rFonts w:ascii="Courier New" w:hAnsi="Courier New" w:cs="Courier New" w:hint="default"/>
      </w:rPr>
    </w:lvl>
    <w:lvl w:ilvl="8" w:tplc="0C000005" w:tentative="1">
      <w:start w:val="1"/>
      <w:numFmt w:val="bullet"/>
      <w:lvlText w:val=""/>
      <w:lvlJc w:val="left"/>
      <w:pPr>
        <w:ind w:left="6570" w:hanging="360"/>
      </w:pPr>
      <w:rPr>
        <w:rFonts w:ascii="Wingdings" w:hAnsi="Wingdings" w:hint="default"/>
      </w:rPr>
    </w:lvl>
  </w:abstractNum>
  <w:abstractNum w:abstractNumId="2"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0A57866"/>
    <w:multiLevelType w:val="multilevel"/>
    <w:tmpl w:val="7408EB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4C662B66"/>
    <w:multiLevelType w:val="hybridMultilevel"/>
    <w:tmpl w:val="60423414"/>
    <w:lvl w:ilvl="0" w:tplc="0C000011">
      <w:start w:val="1"/>
      <w:numFmt w:val="decimal"/>
      <w:lvlText w:val="%1)"/>
      <w:lvlJc w:val="left"/>
      <w:pPr>
        <w:ind w:left="1160" w:hanging="360"/>
      </w:pPr>
    </w:lvl>
    <w:lvl w:ilvl="1" w:tplc="0C000019" w:tentative="1">
      <w:start w:val="1"/>
      <w:numFmt w:val="lowerLetter"/>
      <w:lvlText w:val="%2."/>
      <w:lvlJc w:val="left"/>
      <w:pPr>
        <w:ind w:left="1880" w:hanging="360"/>
      </w:pPr>
    </w:lvl>
    <w:lvl w:ilvl="2" w:tplc="0C00001B" w:tentative="1">
      <w:start w:val="1"/>
      <w:numFmt w:val="lowerRoman"/>
      <w:lvlText w:val="%3."/>
      <w:lvlJc w:val="right"/>
      <w:pPr>
        <w:ind w:left="2600" w:hanging="180"/>
      </w:pPr>
    </w:lvl>
    <w:lvl w:ilvl="3" w:tplc="0C00000F" w:tentative="1">
      <w:start w:val="1"/>
      <w:numFmt w:val="decimal"/>
      <w:lvlText w:val="%4."/>
      <w:lvlJc w:val="left"/>
      <w:pPr>
        <w:ind w:left="3320" w:hanging="360"/>
      </w:pPr>
    </w:lvl>
    <w:lvl w:ilvl="4" w:tplc="0C000019" w:tentative="1">
      <w:start w:val="1"/>
      <w:numFmt w:val="lowerLetter"/>
      <w:lvlText w:val="%5."/>
      <w:lvlJc w:val="left"/>
      <w:pPr>
        <w:ind w:left="4040" w:hanging="360"/>
      </w:pPr>
    </w:lvl>
    <w:lvl w:ilvl="5" w:tplc="0C00001B" w:tentative="1">
      <w:start w:val="1"/>
      <w:numFmt w:val="lowerRoman"/>
      <w:lvlText w:val="%6."/>
      <w:lvlJc w:val="right"/>
      <w:pPr>
        <w:ind w:left="4760" w:hanging="180"/>
      </w:pPr>
    </w:lvl>
    <w:lvl w:ilvl="6" w:tplc="0C00000F" w:tentative="1">
      <w:start w:val="1"/>
      <w:numFmt w:val="decimal"/>
      <w:lvlText w:val="%7."/>
      <w:lvlJc w:val="left"/>
      <w:pPr>
        <w:ind w:left="5480" w:hanging="360"/>
      </w:pPr>
    </w:lvl>
    <w:lvl w:ilvl="7" w:tplc="0C000019" w:tentative="1">
      <w:start w:val="1"/>
      <w:numFmt w:val="lowerLetter"/>
      <w:lvlText w:val="%8."/>
      <w:lvlJc w:val="left"/>
      <w:pPr>
        <w:ind w:left="6200" w:hanging="360"/>
      </w:pPr>
    </w:lvl>
    <w:lvl w:ilvl="8" w:tplc="0C00001B" w:tentative="1">
      <w:start w:val="1"/>
      <w:numFmt w:val="lowerRoman"/>
      <w:lvlText w:val="%9."/>
      <w:lvlJc w:val="right"/>
      <w:pPr>
        <w:ind w:left="6920" w:hanging="180"/>
      </w:pPr>
    </w:lvl>
  </w:abstractNum>
  <w:abstractNum w:abstractNumId="12"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6"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20"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4"/>
  </w:num>
  <w:num w:numId="2">
    <w:abstractNumId w:val="17"/>
  </w:num>
  <w:num w:numId="3">
    <w:abstractNumId w:val="19"/>
  </w:num>
  <w:num w:numId="4">
    <w:abstractNumId w:val="5"/>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12"/>
  </w:num>
  <w:num w:numId="13">
    <w:abstractNumId w:val="18"/>
  </w:num>
  <w:num w:numId="14">
    <w:abstractNumId w:val="3"/>
  </w:num>
  <w:num w:numId="15">
    <w:abstractNumId w:val="10"/>
  </w:num>
  <w:num w:numId="16">
    <w:abstractNumId w:val="20"/>
  </w:num>
  <w:num w:numId="17">
    <w:abstractNumId w:val="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5"/>
    <w:rsid w:val="00000B48"/>
    <w:rsid w:val="00000F1D"/>
    <w:rsid w:val="000056F6"/>
    <w:rsid w:val="00007318"/>
    <w:rsid w:val="00020297"/>
    <w:rsid w:val="0002096F"/>
    <w:rsid w:val="000213B2"/>
    <w:rsid w:val="00021EE5"/>
    <w:rsid w:val="0002488E"/>
    <w:rsid w:val="000278F3"/>
    <w:rsid w:val="0003389A"/>
    <w:rsid w:val="000349B3"/>
    <w:rsid w:val="00035069"/>
    <w:rsid w:val="0003597D"/>
    <w:rsid w:val="00035EA5"/>
    <w:rsid w:val="00040D98"/>
    <w:rsid w:val="000422BC"/>
    <w:rsid w:val="00042D4F"/>
    <w:rsid w:val="00043077"/>
    <w:rsid w:val="000435F3"/>
    <w:rsid w:val="000437F7"/>
    <w:rsid w:val="000455DF"/>
    <w:rsid w:val="00053E4D"/>
    <w:rsid w:val="000576DF"/>
    <w:rsid w:val="00057AE4"/>
    <w:rsid w:val="00057B74"/>
    <w:rsid w:val="00060789"/>
    <w:rsid w:val="00061084"/>
    <w:rsid w:val="0006133B"/>
    <w:rsid w:val="000613C5"/>
    <w:rsid w:val="00062D2B"/>
    <w:rsid w:val="00063486"/>
    <w:rsid w:val="00072B07"/>
    <w:rsid w:val="00075F6F"/>
    <w:rsid w:val="00076727"/>
    <w:rsid w:val="00080CBF"/>
    <w:rsid w:val="00083841"/>
    <w:rsid w:val="0008462C"/>
    <w:rsid w:val="00084698"/>
    <w:rsid w:val="00091BC2"/>
    <w:rsid w:val="00093424"/>
    <w:rsid w:val="0009358C"/>
    <w:rsid w:val="00094852"/>
    <w:rsid w:val="000A22CD"/>
    <w:rsid w:val="000A2E70"/>
    <w:rsid w:val="000A685B"/>
    <w:rsid w:val="000A7342"/>
    <w:rsid w:val="000B261A"/>
    <w:rsid w:val="000B53F3"/>
    <w:rsid w:val="000B55AF"/>
    <w:rsid w:val="000B565F"/>
    <w:rsid w:val="000B628C"/>
    <w:rsid w:val="000C4171"/>
    <w:rsid w:val="000C432E"/>
    <w:rsid w:val="000D0363"/>
    <w:rsid w:val="000D1294"/>
    <w:rsid w:val="000D512B"/>
    <w:rsid w:val="000D5E56"/>
    <w:rsid w:val="000D763E"/>
    <w:rsid w:val="000E4325"/>
    <w:rsid w:val="000E77E5"/>
    <w:rsid w:val="000F0639"/>
    <w:rsid w:val="000F5861"/>
    <w:rsid w:val="00101DC5"/>
    <w:rsid w:val="001020C0"/>
    <w:rsid w:val="00105780"/>
    <w:rsid w:val="001070CB"/>
    <w:rsid w:val="0011210C"/>
    <w:rsid w:val="00113285"/>
    <w:rsid w:val="001133BB"/>
    <w:rsid w:val="00117C36"/>
    <w:rsid w:val="00120A8A"/>
    <w:rsid w:val="00121049"/>
    <w:rsid w:val="0012137B"/>
    <w:rsid w:val="001300E1"/>
    <w:rsid w:val="0013347A"/>
    <w:rsid w:val="0013436B"/>
    <w:rsid w:val="00134644"/>
    <w:rsid w:val="00136F62"/>
    <w:rsid w:val="00137315"/>
    <w:rsid w:val="00137D46"/>
    <w:rsid w:val="00142764"/>
    <w:rsid w:val="00144D59"/>
    <w:rsid w:val="001478D9"/>
    <w:rsid w:val="001505E5"/>
    <w:rsid w:val="001506D1"/>
    <w:rsid w:val="0015347A"/>
    <w:rsid w:val="00153844"/>
    <w:rsid w:val="00153CBA"/>
    <w:rsid w:val="00155C93"/>
    <w:rsid w:val="0016041B"/>
    <w:rsid w:val="001607AD"/>
    <w:rsid w:val="00160B11"/>
    <w:rsid w:val="00162A0D"/>
    <w:rsid w:val="00171E30"/>
    <w:rsid w:val="001725B7"/>
    <w:rsid w:val="0017450C"/>
    <w:rsid w:val="0017483E"/>
    <w:rsid w:val="0018425D"/>
    <w:rsid w:val="00190856"/>
    <w:rsid w:val="00191456"/>
    <w:rsid w:val="00192F15"/>
    <w:rsid w:val="001950A7"/>
    <w:rsid w:val="00197D26"/>
    <w:rsid w:val="001A0D7E"/>
    <w:rsid w:val="001A1A4B"/>
    <w:rsid w:val="001A7AC0"/>
    <w:rsid w:val="001B23EF"/>
    <w:rsid w:val="001B3040"/>
    <w:rsid w:val="001B4997"/>
    <w:rsid w:val="001C3A40"/>
    <w:rsid w:val="001C5EF1"/>
    <w:rsid w:val="001D0165"/>
    <w:rsid w:val="001E05AA"/>
    <w:rsid w:val="001E09D1"/>
    <w:rsid w:val="001E0A02"/>
    <w:rsid w:val="001E2109"/>
    <w:rsid w:val="001E3717"/>
    <w:rsid w:val="001E3F2C"/>
    <w:rsid w:val="001E47BA"/>
    <w:rsid w:val="001E7A53"/>
    <w:rsid w:val="001E7E64"/>
    <w:rsid w:val="001F2D57"/>
    <w:rsid w:val="001F3DAA"/>
    <w:rsid w:val="001F62D3"/>
    <w:rsid w:val="00201878"/>
    <w:rsid w:val="0020248C"/>
    <w:rsid w:val="00202A2C"/>
    <w:rsid w:val="00203D28"/>
    <w:rsid w:val="002107FF"/>
    <w:rsid w:val="00211B73"/>
    <w:rsid w:val="002121AF"/>
    <w:rsid w:val="00212C84"/>
    <w:rsid w:val="00216C55"/>
    <w:rsid w:val="00221854"/>
    <w:rsid w:val="0023057B"/>
    <w:rsid w:val="00237318"/>
    <w:rsid w:val="002375E9"/>
    <w:rsid w:val="0024555A"/>
    <w:rsid w:val="00246242"/>
    <w:rsid w:val="002478AB"/>
    <w:rsid w:val="002511DC"/>
    <w:rsid w:val="002521E4"/>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42C3"/>
    <w:rsid w:val="00284DCF"/>
    <w:rsid w:val="00285F60"/>
    <w:rsid w:val="00286460"/>
    <w:rsid w:val="00287351"/>
    <w:rsid w:val="00287F36"/>
    <w:rsid w:val="00291651"/>
    <w:rsid w:val="0029438D"/>
    <w:rsid w:val="00295602"/>
    <w:rsid w:val="00296605"/>
    <w:rsid w:val="002A4ED5"/>
    <w:rsid w:val="002A631C"/>
    <w:rsid w:val="002A67AF"/>
    <w:rsid w:val="002B0A78"/>
    <w:rsid w:val="002B2638"/>
    <w:rsid w:val="002B2C51"/>
    <w:rsid w:val="002B585F"/>
    <w:rsid w:val="002B66E6"/>
    <w:rsid w:val="002B74E9"/>
    <w:rsid w:val="002C0A93"/>
    <w:rsid w:val="002C3BDD"/>
    <w:rsid w:val="002C3E1F"/>
    <w:rsid w:val="002C7F3B"/>
    <w:rsid w:val="002D08D5"/>
    <w:rsid w:val="002D0936"/>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618C"/>
    <w:rsid w:val="00316BE5"/>
    <w:rsid w:val="00316C5D"/>
    <w:rsid w:val="003231CA"/>
    <w:rsid w:val="00323BFF"/>
    <w:rsid w:val="0032535A"/>
    <w:rsid w:val="00327D19"/>
    <w:rsid w:val="00333E33"/>
    <w:rsid w:val="0033416E"/>
    <w:rsid w:val="00335FEF"/>
    <w:rsid w:val="00337703"/>
    <w:rsid w:val="00337BC4"/>
    <w:rsid w:val="0034154C"/>
    <w:rsid w:val="003472C7"/>
    <w:rsid w:val="0035313C"/>
    <w:rsid w:val="003561FF"/>
    <w:rsid w:val="003605F5"/>
    <w:rsid w:val="00362EB6"/>
    <w:rsid w:val="0036532E"/>
    <w:rsid w:val="0037086D"/>
    <w:rsid w:val="00374EB1"/>
    <w:rsid w:val="00380609"/>
    <w:rsid w:val="00381D97"/>
    <w:rsid w:val="00386E2D"/>
    <w:rsid w:val="00390C25"/>
    <w:rsid w:val="00394B2D"/>
    <w:rsid w:val="00395154"/>
    <w:rsid w:val="00397556"/>
    <w:rsid w:val="003A0304"/>
    <w:rsid w:val="003A158D"/>
    <w:rsid w:val="003A1852"/>
    <w:rsid w:val="003A3BA5"/>
    <w:rsid w:val="003A4838"/>
    <w:rsid w:val="003A4DB0"/>
    <w:rsid w:val="003A7ABB"/>
    <w:rsid w:val="003B5736"/>
    <w:rsid w:val="003C0033"/>
    <w:rsid w:val="003C2E3E"/>
    <w:rsid w:val="003C55EC"/>
    <w:rsid w:val="003D1290"/>
    <w:rsid w:val="003D3D98"/>
    <w:rsid w:val="003D7822"/>
    <w:rsid w:val="003E02A6"/>
    <w:rsid w:val="003E1C8C"/>
    <w:rsid w:val="003E1F2E"/>
    <w:rsid w:val="003E3157"/>
    <w:rsid w:val="003E4384"/>
    <w:rsid w:val="003E50AF"/>
    <w:rsid w:val="003E67F9"/>
    <w:rsid w:val="003F0741"/>
    <w:rsid w:val="003F0FB1"/>
    <w:rsid w:val="003F158B"/>
    <w:rsid w:val="003F1871"/>
    <w:rsid w:val="003F18B0"/>
    <w:rsid w:val="003F287C"/>
    <w:rsid w:val="003F3975"/>
    <w:rsid w:val="003F479E"/>
    <w:rsid w:val="003F5BE2"/>
    <w:rsid w:val="003F5C16"/>
    <w:rsid w:val="003F72C8"/>
    <w:rsid w:val="00401454"/>
    <w:rsid w:val="00401B3C"/>
    <w:rsid w:val="00402401"/>
    <w:rsid w:val="00403528"/>
    <w:rsid w:val="004038F0"/>
    <w:rsid w:val="004076A7"/>
    <w:rsid w:val="00411F7A"/>
    <w:rsid w:val="00412E1D"/>
    <w:rsid w:val="0041369F"/>
    <w:rsid w:val="004162C4"/>
    <w:rsid w:val="00416CD0"/>
    <w:rsid w:val="004211E7"/>
    <w:rsid w:val="00422ADE"/>
    <w:rsid w:val="0042501F"/>
    <w:rsid w:val="0042759C"/>
    <w:rsid w:val="0043102D"/>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7CBF"/>
    <w:rsid w:val="00460CF5"/>
    <w:rsid w:val="00464A2D"/>
    <w:rsid w:val="00464C34"/>
    <w:rsid w:val="004659AE"/>
    <w:rsid w:val="0047079A"/>
    <w:rsid w:val="004727E2"/>
    <w:rsid w:val="00475C42"/>
    <w:rsid w:val="00475EE3"/>
    <w:rsid w:val="0048095C"/>
    <w:rsid w:val="00481C30"/>
    <w:rsid w:val="00482618"/>
    <w:rsid w:val="00484799"/>
    <w:rsid w:val="0048527C"/>
    <w:rsid w:val="00486CB3"/>
    <w:rsid w:val="00492802"/>
    <w:rsid w:val="00493030"/>
    <w:rsid w:val="00497E25"/>
    <w:rsid w:val="004A086C"/>
    <w:rsid w:val="004A5FFA"/>
    <w:rsid w:val="004B3154"/>
    <w:rsid w:val="004B795E"/>
    <w:rsid w:val="004C29CA"/>
    <w:rsid w:val="004C2E05"/>
    <w:rsid w:val="004C6244"/>
    <w:rsid w:val="004D25BD"/>
    <w:rsid w:val="004D5B88"/>
    <w:rsid w:val="004E12ED"/>
    <w:rsid w:val="004E3097"/>
    <w:rsid w:val="004E639D"/>
    <w:rsid w:val="004E73B5"/>
    <w:rsid w:val="004E7674"/>
    <w:rsid w:val="004F180C"/>
    <w:rsid w:val="004F3B1F"/>
    <w:rsid w:val="004F4363"/>
    <w:rsid w:val="004F4D75"/>
    <w:rsid w:val="004F5616"/>
    <w:rsid w:val="004F7385"/>
    <w:rsid w:val="004F79BA"/>
    <w:rsid w:val="0050070A"/>
    <w:rsid w:val="005023E1"/>
    <w:rsid w:val="00507F54"/>
    <w:rsid w:val="0051036A"/>
    <w:rsid w:val="00512A9B"/>
    <w:rsid w:val="00513C91"/>
    <w:rsid w:val="00513DAA"/>
    <w:rsid w:val="00514A3E"/>
    <w:rsid w:val="00516AD7"/>
    <w:rsid w:val="00522E71"/>
    <w:rsid w:val="00524F99"/>
    <w:rsid w:val="00530BC7"/>
    <w:rsid w:val="005311F9"/>
    <w:rsid w:val="00531F9F"/>
    <w:rsid w:val="00535C1F"/>
    <w:rsid w:val="005407A0"/>
    <w:rsid w:val="00543DC0"/>
    <w:rsid w:val="0054698F"/>
    <w:rsid w:val="00547689"/>
    <w:rsid w:val="00551AF3"/>
    <w:rsid w:val="0055241D"/>
    <w:rsid w:val="00556A1C"/>
    <w:rsid w:val="0056063D"/>
    <w:rsid w:val="00561BB5"/>
    <w:rsid w:val="005629C5"/>
    <w:rsid w:val="00570888"/>
    <w:rsid w:val="00571FD5"/>
    <w:rsid w:val="00573B9E"/>
    <w:rsid w:val="00573DFB"/>
    <w:rsid w:val="005764D2"/>
    <w:rsid w:val="005768FF"/>
    <w:rsid w:val="00580AED"/>
    <w:rsid w:val="00582B8B"/>
    <w:rsid w:val="00585D3C"/>
    <w:rsid w:val="00587283"/>
    <w:rsid w:val="0059369F"/>
    <w:rsid w:val="005A2C48"/>
    <w:rsid w:val="005A3455"/>
    <w:rsid w:val="005A5C31"/>
    <w:rsid w:val="005A6169"/>
    <w:rsid w:val="005A72E5"/>
    <w:rsid w:val="005B2486"/>
    <w:rsid w:val="005B28A2"/>
    <w:rsid w:val="005B2A81"/>
    <w:rsid w:val="005B78B2"/>
    <w:rsid w:val="005B7ADB"/>
    <w:rsid w:val="005C013E"/>
    <w:rsid w:val="005C14ED"/>
    <w:rsid w:val="005C1C7C"/>
    <w:rsid w:val="005C3B3A"/>
    <w:rsid w:val="005C6032"/>
    <w:rsid w:val="005D2199"/>
    <w:rsid w:val="005D28AB"/>
    <w:rsid w:val="005D2F28"/>
    <w:rsid w:val="005D5130"/>
    <w:rsid w:val="005D6545"/>
    <w:rsid w:val="005E022A"/>
    <w:rsid w:val="005E445B"/>
    <w:rsid w:val="005E71BE"/>
    <w:rsid w:val="005E7D07"/>
    <w:rsid w:val="005F18B5"/>
    <w:rsid w:val="00601276"/>
    <w:rsid w:val="00607D06"/>
    <w:rsid w:val="006136F7"/>
    <w:rsid w:val="00624596"/>
    <w:rsid w:val="006247F0"/>
    <w:rsid w:val="006334D9"/>
    <w:rsid w:val="00634CA2"/>
    <w:rsid w:val="006351AC"/>
    <w:rsid w:val="00636238"/>
    <w:rsid w:val="00637F1D"/>
    <w:rsid w:val="00643593"/>
    <w:rsid w:val="006444DE"/>
    <w:rsid w:val="00646095"/>
    <w:rsid w:val="00647A1A"/>
    <w:rsid w:val="006517ED"/>
    <w:rsid w:val="00655996"/>
    <w:rsid w:val="006618B0"/>
    <w:rsid w:val="00670778"/>
    <w:rsid w:val="006711C2"/>
    <w:rsid w:val="006732A5"/>
    <w:rsid w:val="00674ACA"/>
    <w:rsid w:val="006757D1"/>
    <w:rsid w:val="006773DC"/>
    <w:rsid w:val="00683514"/>
    <w:rsid w:val="006862A3"/>
    <w:rsid w:val="0068733F"/>
    <w:rsid w:val="006906F6"/>
    <w:rsid w:val="0069114A"/>
    <w:rsid w:val="0069157F"/>
    <w:rsid w:val="00691BEC"/>
    <w:rsid w:val="0069223F"/>
    <w:rsid w:val="006924A3"/>
    <w:rsid w:val="00692BC5"/>
    <w:rsid w:val="00694AF3"/>
    <w:rsid w:val="00697CB0"/>
    <w:rsid w:val="006A030A"/>
    <w:rsid w:val="006A219E"/>
    <w:rsid w:val="006A35A6"/>
    <w:rsid w:val="006A457C"/>
    <w:rsid w:val="006A7131"/>
    <w:rsid w:val="006B1138"/>
    <w:rsid w:val="006B1A70"/>
    <w:rsid w:val="006C0510"/>
    <w:rsid w:val="006D20A9"/>
    <w:rsid w:val="006D7166"/>
    <w:rsid w:val="006D7A84"/>
    <w:rsid w:val="006E0506"/>
    <w:rsid w:val="006E1250"/>
    <w:rsid w:val="006E136C"/>
    <w:rsid w:val="006F4660"/>
    <w:rsid w:val="006F53E1"/>
    <w:rsid w:val="006F6985"/>
    <w:rsid w:val="00702EC7"/>
    <w:rsid w:val="00703717"/>
    <w:rsid w:val="007062FF"/>
    <w:rsid w:val="007104B4"/>
    <w:rsid w:val="0071426B"/>
    <w:rsid w:val="00715AEB"/>
    <w:rsid w:val="00716B91"/>
    <w:rsid w:val="00722DE1"/>
    <w:rsid w:val="00725DAA"/>
    <w:rsid w:val="00726C84"/>
    <w:rsid w:val="00726FAF"/>
    <w:rsid w:val="0073109D"/>
    <w:rsid w:val="00731523"/>
    <w:rsid w:val="0073354D"/>
    <w:rsid w:val="00735A48"/>
    <w:rsid w:val="00736C9F"/>
    <w:rsid w:val="00740B9B"/>
    <w:rsid w:val="00743E16"/>
    <w:rsid w:val="00744756"/>
    <w:rsid w:val="00747CB7"/>
    <w:rsid w:val="00751215"/>
    <w:rsid w:val="007550A3"/>
    <w:rsid w:val="00756490"/>
    <w:rsid w:val="0075790C"/>
    <w:rsid w:val="00765F70"/>
    <w:rsid w:val="007704B1"/>
    <w:rsid w:val="007715DB"/>
    <w:rsid w:val="00773409"/>
    <w:rsid w:val="00773FD7"/>
    <w:rsid w:val="00774795"/>
    <w:rsid w:val="007748E6"/>
    <w:rsid w:val="007758DA"/>
    <w:rsid w:val="00776545"/>
    <w:rsid w:val="00776D6B"/>
    <w:rsid w:val="00777A4E"/>
    <w:rsid w:val="0078135B"/>
    <w:rsid w:val="00781979"/>
    <w:rsid w:val="007847B3"/>
    <w:rsid w:val="0078607F"/>
    <w:rsid w:val="0079012B"/>
    <w:rsid w:val="00791BEC"/>
    <w:rsid w:val="007A0D8E"/>
    <w:rsid w:val="007A1FA8"/>
    <w:rsid w:val="007A57DA"/>
    <w:rsid w:val="007A7B71"/>
    <w:rsid w:val="007B66F0"/>
    <w:rsid w:val="007C0DBD"/>
    <w:rsid w:val="007C114B"/>
    <w:rsid w:val="007C5251"/>
    <w:rsid w:val="007C56EF"/>
    <w:rsid w:val="007D15BB"/>
    <w:rsid w:val="007D15FD"/>
    <w:rsid w:val="007D3597"/>
    <w:rsid w:val="007D7DDA"/>
    <w:rsid w:val="007E3146"/>
    <w:rsid w:val="007E3626"/>
    <w:rsid w:val="007E3D75"/>
    <w:rsid w:val="007E4F68"/>
    <w:rsid w:val="007F0ED2"/>
    <w:rsid w:val="007F6B75"/>
    <w:rsid w:val="007F7BAA"/>
    <w:rsid w:val="00800232"/>
    <w:rsid w:val="008034A8"/>
    <w:rsid w:val="00806143"/>
    <w:rsid w:val="00810B04"/>
    <w:rsid w:val="00810EAF"/>
    <w:rsid w:val="00813110"/>
    <w:rsid w:val="00813E9D"/>
    <w:rsid w:val="00814C8C"/>
    <w:rsid w:val="00814F25"/>
    <w:rsid w:val="0081642C"/>
    <w:rsid w:val="008218F9"/>
    <w:rsid w:val="00825237"/>
    <w:rsid w:val="008264A6"/>
    <w:rsid w:val="00830BA8"/>
    <w:rsid w:val="00831121"/>
    <w:rsid w:val="00836396"/>
    <w:rsid w:val="008376CB"/>
    <w:rsid w:val="00837E71"/>
    <w:rsid w:val="00843D99"/>
    <w:rsid w:val="00846C09"/>
    <w:rsid w:val="00851456"/>
    <w:rsid w:val="00852ED4"/>
    <w:rsid w:val="00854B6B"/>
    <w:rsid w:val="00865FA3"/>
    <w:rsid w:val="0087152E"/>
    <w:rsid w:val="0087268E"/>
    <w:rsid w:val="00874F0C"/>
    <w:rsid w:val="0087796B"/>
    <w:rsid w:val="008842A1"/>
    <w:rsid w:val="00891B19"/>
    <w:rsid w:val="008969EE"/>
    <w:rsid w:val="00896E38"/>
    <w:rsid w:val="008A317B"/>
    <w:rsid w:val="008A6C8C"/>
    <w:rsid w:val="008A7196"/>
    <w:rsid w:val="008A71DD"/>
    <w:rsid w:val="008B113A"/>
    <w:rsid w:val="008B51D7"/>
    <w:rsid w:val="008C0241"/>
    <w:rsid w:val="008C1EB2"/>
    <w:rsid w:val="008C320C"/>
    <w:rsid w:val="008C4F42"/>
    <w:rsid w:val="008D1BCB"/>
    <w:rsid w:val="008D27F9"/>
    <w:rsid w:val="008D56D6"/>
    <w:rsid w:val="008E2F19"/>
    <w:rsid w:val="008E307B"/>
    <w:rsid w:val="008E393D"/>
    <w:rsid w:val="008E4CC4"/>
    <w:rsid w:val="008E7567"/>
    <w:rsid w:val="008E79DE"/>
    <w:rsid w:val="008F02A1"/>
    <w:rsid w:val="008F0FD5"/>
    <w:rsid w:val="008F18EE"/>
    <w:rsid w:val="008F2A45"/>
    <w:rsid w:val="008F3A7B"/>
    <w:rsid w:val="008F40F2"/>
    <w:rsid w:val="008F4867"/>
    <w:rsid w:val="008F7E1A"/>
    <w:rsid w:val="009011BE"/>
    <w:rsid w:val="009024B1"/>
    <w:rsid w:val="00906E2C"/>
    <w:rsid w:val="00910F1D"/>
    <w:rsid w:val="00912167"/>
    <w:rsid w:val="00913BEE"/>
    <w:rsid w:val="009147CC"/>
    <w:rsid w:val="00916EE8"/>
    <w:rsid w:val="00925D22"/>
    <w:rsid w:val="0093112B"/>
    <w:rsid w:val="00932F16"/>
    <w:rsid w:val="0093377F"/>
    <w:rsid w:val="0093471C"/>
    <w:rsid w:val="009356E4"/>
    <w:rsid w:val="009363BE"/>
    <w:rsid w:val="00940BE8"/>
    <w:rsid w:val="00941000"/>
    <w:rsid w:val="0094431A"/>
    <w:rsid w:val="009517D6"/>
    <w:rsid w:val="00952D41"/>
    <w:rsid w:val="00953421"/>
    <w:rsid w:val="00954981"/>
    <w:rsid w:val="00960BCE"/>
    <w:rsid w:val="0096195E"/>
    <w:rsid w:val="009624A7"/>
    <w:rsid w:val="00962E2D"/>
    <w:rsid w:val="00964125"/>
    <w:rsid w:val="00972247"/>
    <w:rsid w:val="00972616"/>
    <w:rsid w:val="009760A9"/>
    <w:rsid w:val="009761C5"/>
    <w:rsid w:val="00977D17"/>
    <w:rsid w:val="009815D3"/>
    <w:rsid w:val="0098186B"/>
    <w:rsid w:val="009823C0"/>
    <w:rsid w:val="00982C82"/>
    <w:rsid w:val="00984862"/>
    <w:rsid w:val="00985691"/>
    <w:rsid w:val="00986266"/>
    <w:rsid w:val="009872A7"/>
    <w:rsid w:val="009949BE"/>
    <w:rsid w:val="00996F5D"/>
    <w:rsid w:val="009A37F7"/>
    <w:rsid w:val="009A3914"/>
    <w:rsid w:val="009A606D"/>
    <w:rsid w:val="009A732A"/>
    <w:rsid w:val="009B04DB"/>
    <w:rsid w:val="009B1601"/>
    <w:rsid w:val="009B2043"/>
    <w:rsid w:val="009B2592"/>
    <w:rsid w:val="009B6E56"/>
    <w:rsid w:val="009C1752"/>
    <w:rsid w:val="009C1918"/>
    <w:rsid w:val="009C62E2"/>
    <w:rsid w:val="009C7AA0"/>
    <w:rsid w:val="009D0ACD"/>
    <w:rsid w:val="009D31F0"/>
    <w:rsid w:val="009D4D0B"/>
    <w:rsid w:val="009D51E4"/>
    <w:rsid w:val="009D6B47"/>
    <w:rsid w:val="009D7F0E"/>
    <w:rsid w:val="009E1129"/>
    <w:rsid w:val="009E4842"/>
    <w:rsid w:val="009E6080"/>
    <w:rsid w:val="009F2456"/>
    <w:rsid w:val="009F3656"/>
    <w:rsid w:val="009F39F1"/>
    <w:rsid w:val="009F4BD4"/>
    <w:rsid w:val="009F5CF0"/>
    <w:rsid w:val="00A00102"/>
    <w:rsid w:val="00A01B36"/>
    <w:rsid w:val="00A02075"/>
    <w:rsid w:val="00A02A0C"/>
    <w:rsid w:val="00A047CE"/>
    <w:rsid w:val="00A05642"/>
    <w:rsid w:val="00A066B5"/>
    <w:rsid w:val="00A1149A"/>
    <w:rsid w:val="00A13C3F"/>
    <w:rsid w:val="00A1552D"/>
    <w:rsid w:val="00A212BA"/>
    <w:rsid w:val="00A2186F"/>
    <w:rsid w:val="00A24374"/>
    <w:rsid w:val="00A24D9A"/>
    <w:rsid w:val="00A25042"/>
    <w:rsid w:val="00A30478"/>
    <w:rsid w:val="00A41627"/>
    <w:rsid w:val="00A427B0"/>
    <w:rsid w:val="00A4361D"/>
    <w:rsid w:val="00A44304"/>
    <w:rsid w:val="00A46EB5"/>
    <w:rsid w:val="00A5037E"/>
    <w:rsid w:val="00A504C2"/>
    <w:rsid w:val="00A54111"/>
    <w:rsid w:val="00A60D55"/>
    <w:rsid w:val="00A66D3C"/>
    <w:rsid w:val="00A67896"/>
    <w:rsid w:val="00A72364"/>
    <w:rsid w:val="00A7422C"/>
    <w:rsid w:val="00A8256A"/>
    <w:rsid w:val="00A82703"/>
    <w:rsid w:val="00A82A05"/>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C0FEF"/>
    <w:rsid w:val="00AC6E8B"/>
    <w:rsid w:val="00AD0E3B"/>
    <w:rsid w:val="00AD1ED2"/>
    <w:rsid w:val="00AD2454"/>
    <w:rsid w:val="00AD4B81"/>
    <w:rsid w:val="00AE75E3"/>
    <w:rsid w:val="00AF455A"/>
    <w:rsid w:val="00AF5968"/>
    <w:rsid w:val="00B0364D"/>
    <w:rsid w:val="00B07023"/>
    <w:rsid w:val="00B123FB"/>
    <w:rsid w:val="00B1460D"/>
    <w:rsid w:val="00B1500D"/>
    <w:rsid w:val="00B15F84"/>
    <w:rsid w:val="00B16916"/>
    <w:rsid w:val="00B16E11"/>
    <w:rsid w:val="00B22D4B"/>
    <w:rsid w:val="00B23134"/>
    <w:rsid w:val="00B24284"/>
    <w:rsid w:val="00B25EDC"/>
    <w:rsid w:val="00B27215"/>
    <w:rsid w:val="00B31351"/>
    <w:rsid w:val="00B34D9B"/>
    <w:rsid w:val="00B35EEE"/>
    <w:rsid w:val="00B36CC7"/>
    <w:rsid w:val="00B379BB"/>
    <w:rsid w:val="00B41198"/>
    <w:rsid w:val="00B41474"/>
    <w:rsid w:val="00B42895"/>
    <w:rsid w:val="00B43113"/>
    <w:rsid w:val="00B504B7"/>
    <w:rsid w:val="00B5485A"/>
    <w:rsid w:val="00B570CA"/>
    <w:rsid w:val="00B65D57"/>
    <w:rsid w:val="00B670A0"/>
    <w:rsid w:val="00B70A2B"/>
    <w:rsid w:val="00B71167"/>
    <w:rsid w:val="00B7127B"/>
    <w:rsid w:val="00B71297"/>
    <w:rsid w:val="00B71A3E"/>
    <w:rsid w:val="00B72E2B"/>
    <w:rsid w:val="00B76662"/>
    <w:rsid w:val="00B76983"/>
    <w:rsid w:val="00B777E2"/>
    <w:rsid w:val="00B8101E"/>
    <w:rsid w:val="00B87C02"/>
    <w:rsid w:val="00B90239"/>
    <w:rsid w:val="00B917F7"/>
    <w:rsid w:val="00B91E8C"/>
    <w:rsid w:val="00B95815"/>
    <w:rsid w:val="00BA0224"/>
    <w:rsid w:val="00BA03D6"/>
    <w:rsid w:val="00BA11E9"/>
    <w:rsid w:val="00BA2153"/>
    <w:rsid w:val="00BB3DA6"/>
    <w:rsid w:val="00BB5645"/>
    <w:rsid w:val="00BC768F"/>
    <w:rsid w:val="00BC7DCE"/>
    <w:rsid w:val="00BD0D08"/>
    <w:rsid w:val="00BD1992"/>
    <w:rsid w:val="00BD2E61"/>
    <w:rsid w:val="00BD5677"/>
    <w:rsid w:val="00BD56CA"/>
    <w:rsid w:val="00BD5711"/>
    <w:rsid w:val="00BD622C"/>
    <w:rsid w:val="00BE1639"/>
    <w:rsid w:val="00BE2772"/>
    <w:rsid w:val="00BE33E9"/>
    <w:rsid w:val="00BE4595"/>
    <w:rsid w:val="00BF01A2"/>
    <w:rsid w:val="00BF0A7A"/>
    <w:rsid w:val="00BF2213"/>
    <w:rsid w:val="00BF4175"/>
    <w:rsid w:val="00BF434D"/>
    <w:rsid w:val="00BF6024"/>
    <w:rsid w:val="00BF7103"/>
    <w:rsid w:val="00C01744"/>
    <w:rsid w:val="00C02EE5"/>
    <w:rsid w:val="00C06CA6"/>
    <w:rsid w:val="00C146DB"/>
    <w:rsid w:val="00C15F65"/>
    <w:rsid w:val="00C17EE5"/>
    <w:rsid w:val="00C21B09"/>
    <w:rsid w:val="00C27D66"/>
    <w:rsid w:val="00C3196D"/>
    <w:rsid w:val="00C3201B"/>
    <w:rsid w:val="00C328D9"/>
    <w:rsid w:val="00C334D2"/>
    <w:rsid w:val="00C37830"/>
    <w:rsid w:val="00C40D68"/>
    <w:rsid w:val="00C502D3"/>
    <w:rsid w:val="00C52574"/>
    <w:rsid w:val="00C52A87"/>
    <w:rsid w:val="00C53988"/>
    <w:rsid w:val="00C54754"/>
    <w:rsid w:val="00C54EEB"/>
    <w:rsid w:val="00C55C2F"/>
    <w:rsid w:val="00C570FB"/>
    <w:rsid w:val="00C6043D"/>
    <w:rsid w:val="00C61201"/>
    <w:rsid w:val="00C6123D"/>
    <w:rsid w:val="00C63D43"/>
    <w:rsid w:val="00C73242"/>
    <w:rsid w:val="00C73B3A"/>
    <w:rsid w:val="00C74BDE"/>
    <w:rsid w:val="00C81F86"/>
    <w:rsid w:val="00C84902"/>
    <w:rsid w:val="00C90860"/>
    <w:rsid w:val="00C91F6C"/>
    <w:rsid w:val="00C93BFD"/>
    <w:rsid w:val="00C9585F"/>
    <w:rsid w:val="00CA3517"/>
    <w:rsid w:val="00CA5A27"/>
    <w:rsid w:val="00CA6333"/>
    <w:rsid w:val="00CA795D"/>
    <w:rsid w:val="00CB0F51"/>
    <w:rsid w:val="00CB33E2"/>
    <w:rsid w:val="00CB356C"/>
    <w:rsid w:val="00CB41A7"/>
    <w:rsid w:val="00CB5E41"/>
    <w:rsid w:val="00CB6271"/>
    <w:rsid w:val="00CB685D"/>
    <w:rsid w:val="00CB77A3"/>
    <w:rsid w:val="00CB7EC8"/>
    <w:rsid w:val="00CC1652"/>
    <w:rsid w:val="00CC3EF1"/>
    <w:rsid w:val="00CC4F27"/>
    <w:rsid w:val="00CC56E5"/>
    <w:rsid w:val="00CC59AD"/>
    <w:rsid w:val="00CC6C47"/>
    <w:rsid w:val="00CD07A6"/>
    <w:rsid w:val="00CD4379"/>
    <w:rsid w:val="00CE22CF"/>
    <w:rsid w:val="00CE50CF"/>
    <w:rsid w:val="00CF46C0"/>
    <w:rsid w:val="00CF5294"/>
    <w:rsid w:val="00CF5514"/>
    <w:rsid w:val="00CF5E2E"/>
    <w:rsid w:val="00CF67DC"/>
    <w:rsid w:val="00CF75E4"/>
    <w:rsid w:val="00D00827"/>
    <w:rsid w:val="00D009E0"/>
    <w:rsid w:val="00D07A7F"/>
    <w:rsid w:val="00D107CC"/>
    <w:rsid w:val="00D200B0"/>
    <w:rsid w:val="00D227FD"/>
    <w:rsid w:val="00D23897"/>
    <w:rsid w:val="00D30849"/>
    <w:rsid w:val="00D32F9D"/>
    <w:rsid w:val="00D3529A"/>
    <w:rsid w:val="00D35EA8"/>
    <w:rsid w:val="00D35F65"/>
    <w:rsid w:val="00D366B0"/>
    <w:rsid w:val="00D437C2"/>
    <w:rsid w:val="00D4581D"/>
    <w:rsid w:val="00D45CB3"/>
    <w:rsid w:val="00D4778A"/>
    <w:rsid w:val="00D47FDB"/>
    <w:rsid w:val="00D50F95"/>
    <w:rsid w:val="00D56B54"/>
    <w:rsid w:val="00D57A94"/>
    <w:rsid w:val="00D604DD"/>
    <w:rsid w:val="00D60DD5"/>
    <w:rsid w:val="00D61F57"/>
    <w:rsid w:val="00D65359"/>
    <w:rsid w:val="00D67FAD"/>
    <w:rsid w:val="00D74C58"/>
    <w:rsid w:val="00D75F27"/>
    <w:rsid w:val="00D76012"/>
    <w:rsid w:val="00D85EB2"/>
    <w:rsid w:val="00D874F9"/>
    <w:rsid w:val="00D91562"/>
    <w:rsid w:val="00D91856"/>
    <w:rsid w:val="00D9223A"/>
    <w:rsid w:val="00D95735"/>
    <w:rsid w:val="00D95D64"/>
    <w:rsid w:val="00DA3DA4"/>
    <w:rsid w:val="00DA4D62"/>
    <w:rsid w:val="00DA574B"/>
    <w:rsid w:val="00DA6979"/>
    <w:rsid w:val="00DB395C"/>
    <w:rsid w:val="00DB65F7"/>
    <w:rsid w:val="00DB7912"/>
    <w:rsid w:val="00DD239F"/>
    <w:rsid w:val="00DD2E62"/>
    <w:rsid w:val="00DD33C7"/>
    <w:rsid w:val="00DE3869"/>
    <w:rsid w:val="00DE5EDB"/>
    <w:rsid w:val="00DE70BF"/>
    <w:rsid w:val="00DE751A"/>
    <w:rsid w:val="00DF10EA"/>
    <w:rsid w:val="00DF3379"/>
    <w:rsid w:val="00DF380E"/>
    <w:rsid w:val="00DF4EF0"/>
    <w:rsid w:val="00E00976"/>
    <w:rsid w:val="00E021DF"/>
    <w:rsid w:val="00E04DC8"/>
    <w:rsid w:val="00E05C3B"/>
    <w:rsid w:val="00E05DEC"/>
    <w:rsid w:val="00E05EDA"/>
    <w:rsid w:val="00E07318"/>
    <w:rsid w:val="00E07962"/>
    <w:rsid w:val="00E10DA6"/>
    <w:rsid w:val="00E14562"/>
    <w:rsid w:val="00E16BFD"/>
    <w:rsid w:val="00E2285C"/>
    <w:rsid w:val="00E26210"/>
    <w:rsid w:val="00E27168"/>
    <w:rsid w:val="00E33F98"/>
    <w:rsid w:val="00E35746"/>
    <w:rsid w:val="00E41884"/>
    <w:rsid w:val="00E41F0F"/>
    <w:rsid w:val="00E4347D"/>
    <w:rsid w:val="00E43ECC"/>
    <w:rsid w:val="00E44A1F"/>
    <w:rsid w:val="00E50D40"/>
    <w:rsid w:val="00E50EB3"/>
    <w:rsid w:val="00E55A0A"/>
    <w:rsid w:val="00E57E62"/>
    <w:rsid w:val="00E6449D"/>
    <w:rsid w:val="00E70193"/>
    <w:rsid w:val="00E71296"/>
    <w:rsid w:val="00E71828"/>
    <w:rsid w:val="00E728D3"/>
    <w:rsid w:val="00E75C0B"/>
    <w:rsid w:val="00E76BAB"/>
    <w:rsid w:val="00E77455"/>
    <w:rsid w:val="00E81A0F"/>
    <w:rsid w:val="00E845CA"/>
    <w:rsid w:val="00E87640"/>
    <w:rsid w:val="00E92452"/>
    <w:rsid w:val="00E92549"/>
    <w:rsid w:val="00EA1CAF"/>
    <w:rsid w:val="00EA57D3"/>
    <w:rsid w:val="00EA61A4"/>
    <w:rsid w:val="00EB04B4"/>
    <w:rsid w:val="00EB5DC6"/>
    <w:rsid w:val="00EC197A"/>
    <w:rsid w:val="00EC2763"/>
    <w:rsid w:val="00ED36A3"/>
    <w:rsid w:val="00ED548F"/>
    <w:rsid w:val="00ED5EE9"/>
    <w:rsid w:val="00EE2726"/>
    <w:rsid w:val="00EF1219"/>
    <w:rsid w:val="00EF352D"/>
    <w:rsid w:val="00EF4076"/>
    <w:rsid w:val="00EF66F5"/>
    <w:rsid w:val="00F005B8"/>
    <w:rsid w:val="00F00823"/>
    <w:rsid w:val="00F0424A"/>
    <w:rsid w:val="00F066E5"/>
    <w:rsid w:val="00F20133"/>
    <w:rsid w:val="00F2219C"/>
    <w:rsid w:val="00F22A71"/>
    <w:rsid w:val="00F23922"/>
    <w:rsid w:val="00F23C0F"/>
    <w:rsid w:val="00F25965"/>
    <w:rsid w:val="00F27616"/>
    <w:rsid w:val="00F27674"/>
    <w:rsid w:val="00F31A33"/>
    <w:rsid w:val="00F32418"/>
    <w:rsid w:val="00F3291B"/>
    <w:rsid w:val="00F32A17"/>
    <w:rsid w:val="00F352D9"/>
    <w:rsid w:val="00F37DB4"/>
    <w:rsid w:val="00F4265D"/>
    <w:rsid w:val="00F45B14"/>
    <w:rsid w:val="00F55AFA"/>
    <w:rsid w:val="00F56F8E"/>
    <w:rsid w:val="00F608D7"/>
    <w:rsid w:val="00F61EFF"/>
    <w:rsid w:val="00F621D4"/>
    <w:rsid w:val="00F64DF9"/>
    <w:rsid w:val="00F672CB"/>
    <w:rsid w:val="00F70207"/>
    <w:rsid w:val="00F71912"/>
    <w:rsid w:val="00F73981"/>
    <w:rsid w:val="00F75EC9"/>
    <w:rsid w:val="00F813A2"/>
    <w:rsid w:val="00F82458"/>
    <w:rsid w:val="00F8262E"/>
    <w:rsid w:val="00F855F6"/>
    <w:rsid w:val="00F85A31"/>
    <w:rsid w:val="00F85F47"/>
    <w:rsid w:val="00F87852"/>
    <w:rsid w:val="00FA0908"/>
    <w:rsid w:val="00FA11F3"/>
    <w:rsid w:val="00FA39C7"/>
    <w:rsid w:val="00FA448B"/>
    <w:rsid w:val="00FB1582"/>
    <w:rsid w:val="00FC0FBF"/>
    <w:rsid w:val="00FC2B7F"/>
    <w:rsid w:val="00FC3B62"/>
    <w:rsid w:val="00FC45CC"/>
    <w:rsid w:val="00FD1705"/>
    <w:rsid w:val="00FD43F4"/>
    <w:rsid w:val="00FE1EC2"/>
    <w:rsid w:val="00FE2E42"/>
    <w:rsid w:val="00FE3392"/>
    <w:rsid w:val="00FE4198"/>
    <w:rsid w:val="00FE4A91"/>
    <w:rsid w:val="00FE4F67"/>
    <w:rsid w:val="00FF010F"/>
    <w:rsid w:val="00FF1198"/>
    <w:rsid w:val="00FF15ED"/>
    <w:rsid w:val="00FF1E54"/>
    <w:rsid w:val="00FF3276"/>
    <w:rsid w:val="00FF3615"/>
    <w:rsid w:val="00FF44F1"/>
    <w:rsid w:val="00FF487E"/>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C9FE"/>
  <w15:chartTrackingRefBased/>
  <w15:docId w15:val="{FCCF2A6A-437F-4F6C-A120-96FFD4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 w:type="paragraph" w:customStyle="1" w:styleId="indent10">
    <w:name w:val="indent1"/>
    <w:basedOn w:val="Normal"/>
    <w:rsid w:val="0034154C"/>
    <w:pPr>
      <w:spacing w:before="100" w:beforeAutospacing="1" w:after="100" w:afterAutospacing="1"/>
    </w:pPr>
  </w:style>
  <w:style w:type="character" w:styleId="CommentReference">
    <w:name w:val="annotation reference"/>
    <w:basedOn w:val="DefaultParagraphFont"/>
    <w:uiPriority w:val="99"/>
    <w:semiHidden/>
    <w:unhideWhenUsed/>
    <w:rsid w:val="0034154C"/>
    <w:rPr>
      <w:sz w:val="16"/>
      <w:szCs w:val="16"/>
    </w:rPr>
  </w:style>
  <w:style w:type="paragraph" w:styleId="CommentText">
    <w:name w:val="annotation text"/>
    <w:basedOn w:val="Normal"/>
    <w:link w:val="CommentTextChar"/>
    <w:uiPriority w:val="99"/>
    <w:semiHidden/>
    <w:unhideWhenUsed/>
    <w:rsid w:val="0034154C"/>
    <w:rPr>
      <w:sz w:val="20"/>
      <w:szCs w:val="20"/>
    </w:rPr>
  </w:style>
  <w:style w:type="character" w:customStyle="1" w:styleId="CommentTextChar">
    <w:name w:val="Comment Text Char"/>
    <w:basedOn w:val="DefaultParagraphFont"/>
    <w:link w:val="CommentText"/>
    <w:uiPriority w:val="99"/>
    <w:semiHidden/>
    <w:rsid w:val="0034154C"/>
    <w:rPr>
      <w:lang w:val="en-GB" w:eastAsia="en-US"/>
    </w:rPr>
  </w:style>
  <w:style w:type="paragraph" w:styleId="CommentSubject">
    <w:name w:val="annotation subject"/>
    <w:basedOn w:val="CommentText"/>
    <w:next w:val="CommentText"/>
    <w:link w:val="CommentSubjectChar"/>
    <w:uiPriority w:val="99"/>
    <w:semiHidden/>
    <w:unhideWhenUsed/>
    <w:rsid w:val="0034154C"/>
    <w:rPr>
      <w:b/>
      <w:bCs/>
    </w:rPr>
  </w:style>
  <w:style w:type="character" w:customStyle="1" w:styleId="CommentSubjectChar">
    <w:name w:val="Comment Subject Char"/>
    <w:basedOn w:val="CommentTextChar"/>
    <w:link w:val="CommentSubject"/>
    <w:uiPriority w:val="99"/>
    <w:semiHidden/>
    <w:rsid w:val="0034154C"/>
    <w:rPr>
      <w:b/>
      <w:bCs/>
      <w:lang w:val="en-GB" w:eastAsia="en-US"/>
    </w:rPr>
  </w:style>
  <w:style w:type="paragraph" w:styleId="NormalWeb">
    <w:name w:val="Normal (Web)"/>
    <w:basedOn w:val="Normal"/>
    <w:uiPriority w:val="99"/>
    <w:semiHidden/>
    <w:unhideWhenUsed/>
    <w:rsid w:val="00A1149A"/>
    <w:pPr>
      <w:spacing w:before="100" w:beforeAutospacing="1" w:after="100" w:afterAutospacing="1"/>
    </w:pPr>
  </w:style>
  <w:style w:type="character" w:customStyle="1" w:styleId="UnresolvedMention1">
    <w:name w:val="Unresolved Mention1"/>
    <w:basedOn w:val="DefaultParagraphFont"/>
    <w:uiPriority w:val="99"/>
    <w:semiHidden/>
    <w:unhideWhenUsed/>
    <w:rsid w:val="00CF6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1922">
      <w:bodyDiv w:val="1"/>
      <w:marLeft w:val="0"/>
      <w:marRight w:val="0"/>
      <w:marTop w:val="0"/>
      <w:marBottom w:val="0"/>
      <w:divBdr>
        <w:top w:val="none" w:sz="0" w:space="0" w:color="auto"/>
        <w:left w:val="none" w:sz="0" w:space="0" w:color="auto"/>
        <w:bottom w:val="none" w:sz="0" w:space="0" w:color="auto"/>
        <w:right w:val="none" w:sz="0" w:space="0" w:color="auto"/>
      </w:divBdr>
    </w:div>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26749059">
      <w:bodyDiv w:val="1"/>
      <w:marLeft w:val="0"/>
      <w:marRight w:val="0"/>
      <w:marTop w:val="0"/>
      <w:marBottom w:val="0"/>
      <w:divBdr>
        <w:top w:val="none" w:sz="0" w:space="0" w:color="auto"/>
        <w:left w:val="none" w:sz="0" w:space="0" w:color="auto"/>
        <w:bottom w:val="none" w:sz="0" w:space="0" w:color="auto"/>
        <w:right w:val="none" w:sz="0" w:space="0" w:color="auto"/>
      </w:divBdr>
    </w:div>
    <w:div w:id="858934780">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985278888">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35477718">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1801805880">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bdoilshop.com.cy/product-p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28696-360C-4C17-A580-9FA957EC1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3860</Words>
  <Characters>20850</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24661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Kakia Zervou</cp:lastModifiedBy>
  <cp:revision>2</cp:revision>
  <cp:lastPrinted>2023-07-11T10:34:00Z</cp:lastPrinted>
  <dcterms:created xsi:type="dcterms:W3CDTF">2023-07-14T11:11:00Z</dcterms:created>
  <dcterms:modified xsi:type="dcterms:W3CDTF">2023-07-14T11:11:00Z</dcterms:modified>
</cp:coreProperties>
</file>